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6.jpg" ContentType="image/jpeg"/>
  <Override PartName="/word/media/rId40.jpg" ContentType="image/jpeg"/>
  <Override PartName="/word/media/rId45.jpg" ContentType="image/jpeg"/>
  <Override PartName="/word/media/rId54.jpg" ContentType="image/jpeg"/>
  <Override PartName="/word/media/rId59.jpg" ContentType="image/jpeg"/>
  <Override PartName="/word/media/rId64.jpg" ContentType="image/jpeg"/>
  <Override PartName="/word/media/rId72.jpg" ContentType="image/jpeg"/>
  <Override PartName="/word/media/rId76.jpg" ContentType="image/jpeg"/>
  <Override PartName="/word/media/rId81.jpg" ContentType="image/jpeg"/>
  <Override PartName="/word/media/rId32.png" ContentType="image/png"/>
  <Override PartName="/word/media/rId68.png" ContentType="image/png"/>
  <Override PartName="/word/media/rId88.png" ContentType="image/png"/>
  <Override PartName="/word/media/rId99.png" ContentType="image/png"/>
  <Override PartName="/word/media/rId161.png" ContentType="image/png"/>
  <Override PartName="/word/media/rId166.png" ContentType="image/png"/>
  <Override PartName="/word/media/rId171.png" ContentType="image/png"/>
  <Override PartName="/word/media/rId177.png" ContentType="image/png"/>
  <Override PartName="/word/media/rId181.png" ContentType="image/png"/>
  <Override PartName="/word/media/rId109.png" ContentType="image/png"/>
  <Override PartName="/word/media/rId116.png" ContentType="image/png"/>
  <Override PartName="/word/media/rId134.png" ContentType="image/png"/>
  <Override PartName="/word/media/rId139.png" ContentType="image/png"/>
  <Override PartName="/word/media/rId143.png" ContentType="image/png"/>
  <Override PartName="/word/media/rId147.png" ContentType="image/png"/>
  <Override PartName="/word/media/rId151.png" ContentType="image/png"/>
  <Override PartName="/word/media/rId156.png" ContentType="image/png"/>
  <Override PartName="/word/media/rId104.png" ContentType="image/png"/>
  <Override PartName="/word/media/rId120.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0e94a8fc2407eaa3e1bbf182611f999572a5b32"/>
    <w:p>
      <w:pPr>
        <w:pStyle w:val="Heading2"/>
      </w:pPr>
      <w:r>
        <w:t xml:space="preserve">Presentation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30" w:name="introduction-overview"/>
    <w:p>
      <w:pPr>
        <w:pStyle w:val="Heading1"/>
      </w:pPr>
      <w:r>
        <w:t xml:space="preserve">1. Introduction &amp; Overview</w:t>
      </w:r>
    </w:p>
    <w:bookmarkStart w:id="28" w:name="general-introduction"/>
    <w:p>
      <w:pPr>
        <w:pStyle w:val="Heading2"/>
      </w:pPr>
      <w:r>
        <w:t xml:space="preserve">1.1 General Introduction</w:t>
      </w:r>
    </w:p>
    <w:bookmarkStart w:id="24" w:name="coastal-environment"/>
    <w:p>
      <w:pPr>
        <w:pStyle w:val="Heading3"/>
      </w:pPr>
      <w:r>
        <w:t xml:space="preserve">1.1.1 Coastal Environment</w:t>
      </w:r>
    </w:p>
    <w:bookmarkEnd w:id="24"/>
    <w:bookmarkStart w:id="27" w:name="X9e765a583398519b62bdb56649d348b8dad8b39"/>
    <w:p>
      <w:pPr>
        <w:pStyle w:val="Heading3"/>
      </w:pPr>
      <w:r>
        <w:t xml:space="preserve">1.1.2 Remote sensing applied to Coastal environments</w:t>
      </w:r>
    </w:p>
    <w:p>
      <w:pPr>
        <w:pStyle w:val="FirstParagraph"/>
      </w:pPr>
      <w:r>
        <w:t xml:space="preserve">Remote sensing (RS) defines the ability to retrieve information in a non-invasive way, without direct contact with the target. It relies on the propagation of signals, typically optical, acoustic, or microwave, between the target and the sensor. This technology is applied in a wide variety of fields, ranging from medical imaging to detect stem cells, to the analysis of the structure of the primordial universe</w:t>
      </w:r>
      <w:r>
        <w:t xml:space="preserve"> </w:t>
      </w:r>
      <w:r>
        <w:t xml:space="preserve">(Aghanim and Dole, 2020; Zhu et al., 2021)</w:t>
      </w:r>
      <w:r>
        <w:t xml:space="preserve">. Remote sensing is integral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land use mapping.</w:t>
      </w:r>
    </w:p>
    <w:p>
      <w:pPr>
        <w:pStyle w:val="BodyText"/>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The following sections examine two complementary approaches within the field of remote sensing for Earth observation: active and passive remote sensing. Through examples focused on coastal monitoring, these sections will introduce the remote sensing methodologies employed in this work while outlining their respective advantages and challenges.</w:t>
      </w:r>
    </w:p>
    <w:bookmarkStart w:id="25" w:name="X1004611164fc8944b1a2e5c037f5b94a65abf23"/>
    <w:p>
      <w:pPr>
        <w:pStyle w:val="Heading4"/>
      </w:pPr>
      <w:r>
        <w:t xml:space="preserve">1.1.2.1 Active Remote Sensing, Exemple of the LiDAR</w:t>
      </w:r>
    </w:p>
    <w:p>
      <w:pPr>
        <w:pStyle w:val="FirstParagraph"/>
      </w:pPr>
      <w:r>
        <w:t xml:space="preserve">Active remote sensing is a technique in which a sensor emits its own energy—typically in the form of electromagnetic radiation—toward a target and measures the energy reflected or backscattered from that target. This method allows for the collection of data regardless of natural light conditions, enabling observations during both day and night and through various weather conditions.</w:t>
      </w:r>
    </w:p>
    <w:p>
      <w:pPr>
        <w:pStyle w:val="BodyText"/>
      </w:pPr>
      <w:r>
        <w:t xml:space="preserve">LiDAR, which stands for Light Detection and Ranging, uses laser light to measure distances to objects or surfaces. By emitting laser pulses and measuring the time it takes for them to reflect back from a target, LiDAR systems can create precise, three-dimensional representations of the environment.</w:t>
      </w:r>
    </w:p>
    <w:p>
      <w:pPr>
        <w:pStyle w:val="BodyText"/>
      </w:pPr>
      <w:r>
        <w:t xml:space="preserve">LiDAR works by emitting a beam of light and measuring the time it takes for the beam to return to the sensor. This process not only calculates distance but can also capture the intensity of the returned signal. In many instances, multiple returns from a single pulse are measured, which allows for mapping the different heights of objects within the same x and y coordinates. This capability is particularly useful for applications such as mapping the heights of trees in a forest or measuring crop heights in agricultural fields. When the height of the ground cannot be measured, LiDAR data can only generate a digital surface model (DSM), which represents the topmost layer of the environment. However, if multiple returns are recorded, it becomes possible to create both a DSM and a digital terrain model (DTM), which represents the ground surface, by differentiating between surface and underlying layers. The difference between DSM and DTM can be uses to assess living stock or biomass.</w:t>
      </w:r>
      <w:r>
        <w:t xml:space="preserve"> </w:t>
      </w:r>
      <w:r>
        <w:t xml:space="preserve">Achieving accuracy in LiDAR measurements is essential due to the high speed of light, approximately 300,000 km/s. Each step of the process, including the precise timing of the beam’s return and the accurate positioning of the sensor (typically mounted on a drone, aircraft, or satellite), must be meticulously calibrated. The use of Real-Time Kinematic (RTK) positioning ensures that the sensor’s x, y, and z coordinates are known with high precision at all times. Without these measures, the resulting data may produce a distorted and noisy representation of the mapped surface, rendering it unreliable for analysis.</w:t>
      </w:r>
    </w:p>
    <w:p>
      <w:pPr>
        <w:pStyle w:val="BodyText"/>
      </w:pPr>
      <w:r>
        <w:t xml:space="preserve">In coastal environment monitoring, LiDAR systems are distinguished by their emitted wavelengths, which dictate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spectrum (approximately 1000 nm), excelling at mapping terrestrial features such as beach contours, vegetation density, and man-made structures. Its ability to generate high-density point clouds stems from efficient operation at lower power, though its utility is restricted to emerged surfaces due to the absorption of infrared light in water. Conversely, bathymetric LiDAR, utilizing green wavelengths (~532 nm), penetrates water to reveal submerged landscapes, including coral reefs, seagrass meadows, and shallow seabeds. While this capability is indispensable for underwater mapping, its effectiveness on land is hindered by atmospheric scattering. Together, these technologies provide complementary tools for comprehensive coastal assessments, enabling precise data collection tailored to both terrestrial and aquatic environments.</w:t>
      </w:r>
    </w:p>
    <w:p>
      <w:pPr>
        <w:pStyle w:val="Compact"/>
        <w:numPr>
          <w:ilvl w:val="0"/>
          <w:numId w:val="1003"/>
        </w:numPr>
      </w:pPr>
      <w:r>
        <w:t xml:space="preserve">Give the exemple of Litto3D</w:t>
      </w:r>
    </w:p>
    <w:p>
      <w:pPr>
        <w:pStyle w:val="Compact"/>
        <w:numPr>
          <w:ilvl w:val="0"/>
          <w:numId w:val="1003"/>
        </w:numPr>
      </w:pPr>
      <w:r>
        <w:t xml:space="preserve">In the present study we used only IR lidar because intertidal flat are flat with few to none 3D structure. and we operate at low tide.</w:t>
      </w:r>
    </w:p>
    <w:bookmarkEnd w:id="25"/>
    <w:bookmarkStart w:id="26" w:name="passive-remote-sensing"/>
    <w:p>
      <w:pPr>
        <w:pStyle w:val="Heading4"/>
      </w:pPr>
      <w:r>
        <w:t xml:space="preserve">1.1.2.2 Passive Remote Sensing</w:t>
      </w:r>
    </w:p>
    <w:p>
      <w:pPr>
        <w:numPr>
          <w:ilvl w:val="0"/>
          <w:numId w:val="1004"/>
        </w:numPr>
      </w:pPr>
      <w:r>
        <w:t xml:space="preserve">Sun is used as a light source of energy most of the time but not evry time (SST measurement for example)</w:t>
      </w:r>
    </w:p>
    <w:p>
      <w:pPr>
        <w:numPr>
          <w:ilvl w:val="0"/>
          <w:numId w:val="1004"/>
        </w:numPr>
      </w:pPr>
      <w:r>
        <w:t xml:space="preserve">reflectance, absorbance, transmitance</w:t>
      </w:r>
    </w:p>
    <w:p>
      <w:pPr>
        <w:numPr>
          <w:ilvl w:val="0"/>
          <w:numId w:val="1004"/>
        </w:numPr>
      </w:pPr>
      <w:r>
        <w:t xml:space="preserve">Spectral signature, abosorption of pigments -&gt; derivative</w:t>
      </w:r>
    </w:p>
    <w:bookmarkEnd w:id="26"/>
    <w:bookmarkEnd w:id="27"/>
    <w:bookmarkEnd w:id="28"/>
    <w:bookmarkStart w:id="29" w:name="overview"/>
    <w:p>
      <w:pPr>
        <w:pStyle w:val="Heading2"/>
      </w:pPr>
      <w:r>
        <w:t xml:space="preserve">1.2 Overview</w:t>
      </w:r>
    </w:p>
    <w:p>
      <w:pPr>
        <w:pStyle w:val="FirstParagraph"/>
      </w:pPr>
      <w:r>
        <w:t xml:space="preserve">Discriminating green macroalgae from seagrasses throught remote sensing poses significant challenges due to their overlapping spectral signatures and similar pigment compositions, particularly in the visible and near-infrared spectral regions. Both vegetation types share key pigments such as chlorophyll-a and carotenoids, which lead to analogous reflectance patterns. This similarity complicates their differentiation using conventional remote sensing techniques, especially when these species coexist within heterogeneous habitats. Despite these challenges, advances in spectral resolution and machine learning provide avenues for improved classification.</w:t>
      </w:r>
    </w:p>
    <w:p>
      <w:pPr>
        <w:pStyle w:val="BodyText"/>
      </w:pPr>
      <w:r>
        <w:t xml:space="preserve">Chapter 2 establishes the foundation by presenting a proof-of-concept study that demonstrates the feasibility of discriminating green macroalgae from seagrasses in intertidal zones using remote sensing. By employing both multi- and hyperspectral datasets, the study elucidates the specific wavelengths and spectral resolutions that maximize classification accuracy, showcasing the potential of remote sensing for detailed habitat mapping.</w:t>
      </w:r>
    </w:p>
    <w:p>
      <w:pPr>
        <w:pStyle w:val="BodyText"/>
      </w:pPr>
      <w:r>
        <w:t xml:space="preserve">Building upon the proof of concept, Chapter 3 focuses on the development of a robust algorithm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 Chapter 4, the methodology evolves to include red macroalgae, specifically targeting the invasive species Gracilaria vermiculophylla. By adapting the algorithm from Chapter 3,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G. vermiculophylla provide valuable implications for managing invasive species and conserving native biodiversity.</w:t>
      </w:r>
    </w:p>
    <w:p>
      <w:pPr>
        <w:pStyle w:val="BodyText"/>
      </w:pPr>
      <w:r>
        <w:t xml:space="preserve">Finally, Chapter 5 examines the physiological impacts of environmental stressors, specifically marine and atmospheric heatwaves, on seagrass reflectance. Through controlled laboratory experiments and field validations, this chapter highlights the spectral responses of Zostera noltei 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29"/>
    <w:bookmarkEnd w:id="30"/>
    <w:bookmarkStart w:id="97" w:name="X5946039c2941aedea9148f0862d7b582029c549"/>
    <w:p>
      <w:pPr>
        <w:pStyle w:val="Heading1"/>
      </w:pPr>
      <w:r>
        <w:t xml:space="preserve">2. Hyperspectral classification of intertidal vegetation for coastal biodiversity</w:t>
      </w:r>
    </w:p>
    <w:bookmarkStart w:id="31"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2019a)</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2020b)</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2021a)</w:t>
      </w:r>
      <w:r>
        <w:t xml:space="preserve">. Other taxonomic classes common in intertidal soft-bottom environments such as Xanthophyceae and Bacillariophyceae could also be confused with seagrass when present at low cover</w:t>
      </w:r>
      <w:r>
        <w:t xml:space="preserve"> </w:t>
      </w:r>
      <w:r>
        <w:t xml:space="preserve">(Zoffoli et al., 2020b)</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31"/>
    <w:bookmarkStart w:id="53" w:name="materials-and-methods"/>
    <w:p>
      <w:pPr>
        <w:pStyle w:val="Heading2"/>
      </w:pPr>
      <w:r>
        <w:t xml:space="preserve">2.2 Materials and Methods</w:t>
      </w:r>
    </w:p>
    <w:bookmarkStart w:id="44"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35"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33" name="Picture"/>
                  <a:graphic>
                    <a:graphicData uri="http://schemas.openxmlformats.org/drawingml/2006/picture">
                      <pic:pic>
                        <pic:nvPicPr>
                          <pic:cNvPr descr="Chapter2/Figs/SPECIESTABLE.png" id="34" name="Picture"/>
                          <pic:cNvPicPr>
                            <a:picLocks noChangeArrowheads="1" noChangeAspect="1"/>
                          </pic:cNvPicPr>
                        </pic:nvPicPr>
                        <pic:blipFill>
                          <a:blip r:embed="rId32"/>
                          <a:stretch>
                            <a:fillRect/>
                          </a:stretch>
                        </pic:blipFill>
                        <pic:spPr bwMode="auto">
                          <a:xfrm>
                            <a:off x="0" y="0"/>
                            <a:ext cx="5646420" cy="3556919"/>
                          </a:xfrm>
                          <a:prstGeom prst="rect">
                            <a:avLst/>
                          </a:prstGeom>
                          <a:noFill/>
                          <a:ln w="9525">
                            <a:noFill/>
                            <a:headEnd/>
                            <a:tailEnd/>
                          </a:ln>
                        </pic:spPr>
                      </pic:pic>
                    </a:graphicData>
                  </a:graphic>
                </wp:inline>
              </w:drawing>
            </w:r>
          </w:p>
          <w:bookmarkEnd w:id="35"/>
        </w:tc>
      </w:tr>
    </w:tbl>
    <w:tbl>
      <w:tblPr>
        <w:tblStyle w:val="Table"/>
        <w:tblW w:type="pct" w:w="5000"/>
        <w:tblLayout w:type="fixed"/>
        <w:tblLook w:firstRow="0" w:lastRow="0" w:firstColumn="0" w:lastColumn="0" w:noHBand="0" w:noVBand="0" w:val="0000"/>
      </w:tblPr>
      <w:tblGrid>
        <w:gridCol w:w="7920"/>
      </w:tblGrid>
      <w:tr>
        <w:tc>
          <w:tcPr/>
          <w:bookmarkStart w:id="39" w:name="fig-Images"/>
          <w:p>
            <w:pPr>
              <w:pStyle w:val="Compact"/>
              <w:jc w:val="center"/>
            </w:pPr>
            <w:r>
              <w:drawing>
                <wp:inline>
                  <wp:extent cx="5401056" cy="3444240"/>
                  <wp:effectExtent b="0" l="0" r="0" t="0"/>
                  <wp:docPr descr="" title="" id="37" name="Picture"/>
                  <a:graphic>
                    <a:graphicData uri="http://schemas.openxmlformats.org/drawingml/2006/picture">
                      <pic:pic>
                        <pic:nvPicPr>
                          <pic:cNvPr descr="Chapter2/Figs/Figure1.jpg" id="38" name="Picture"/>
                          <pic:cNvPicPr>
                            <a:picLocks noChangeArrowheads="1" noChangeAspect="1"/>
                          </pic:cNvPicPr>
                        </pic:nvPicPr>
                        <pic:blipFill>
                          <a:blip r:embed="rId36"/>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39"/>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2020b)</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2020b)</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43" w:name="fig-FIGMAP"/>
          <w:p>
            <w:pPr>
              <w:pStyle w:val="Compact"/>
              <w:jc w:val="center"/>
            </w:pPr>
            <w:r>
              <w:drawing>
                <wp:inline>
                  <wp:extent cx="5466283" cy="5027371"/>
                  <wp:effectExtent b="0" l="0" r="0" t="0"/>
                  <wp:docPr descr="" title="" id="41" name="Picture"/>
                  <a:graphic>
                    <a:graphicData uri="http://schemas.openxmlformats.org/drawingml/2006/picture">
                      <pic:pic>
                        <pic:nvPicPr>
                          <pic:cNvPr descr="Chapter2/Figs/Figure2.jpg" id="42" name="Picture"/>
                          <pic:cNvPicPr>
                            <a:picLocks noChangeArrowheads="1" noChangeAspect="1"/>
                          </pic:cNvPicPr>
                        </pic:nvPicPr>
                        <pic:blipFill>
                          <a:blip r:embed="rId40"/>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43"/>
        </w:tc>
      </w:tr>
    </w:tbl>
    <w:bookmarkEnd w:id="44"/>
    <w:bookmarkStart w:id="52" w:name="data-analysis"/>
    <w:p>
      <w:pPr>
        <w:pStyle w:val="Heading3"/>
      </w:pPr>
      <w:r>
        <w:t xml:space="preserve">2.2.2 Data Analysis</w:t>
      </w:r>
    </w:p>
    <w:bookmarkStart w:id="49"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2020b)</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48" w:name="fig-SpectraDegFIG"/>
          <w:p>
            <w:pPr>
              <w:pStyle w:val="Compact"/>
              <w:jc w:val="center"/>
            </w:pPr>
            <w:r>
              <w:drawing>
                <wp:inline>
                  <wp:extent cx="5646420" cy="5741879"/>
                  <wp:effectExtent b="0" l="0" r="0" t="0"/>
                  <wp:docPr descr="" title="" id="46" name="Picture"/>
                  <a:graphic>
                    <a:graphicData uri="http://schemas.openxmlformats.org/drawingml/2006/picture">
                      <pic:pic>
                        <pic:nvPicPr>
                          <pic:cNvPr descr="Chapter2/Figs/Figure3.jpg" id="47" name="Picture"/>
                          <pic:cNvPicPr>
                            <a:picLocks noChangeArrowheads="1" noChangeAspect="1"/>
                          </pic:cNvPicPr>
                        </pic:nvPicPr>
                        <pic:blipFill>
                          <a:blip r:embed="rId45"/>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48"/>
        </w:tc>
      </w:tr>
    </w:tbl>
    <w:bookmarkEnd w:id="49"/>
    <w:bookmarkStart w:id="50"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50"/>
    <w:bookmarkStart w:id="51"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51"/>
    <w:bookmarkEnd w:id="52"/>
    <w:bookmarkEnd w:id="53"/>
    <w:bookmarkStart w:id="86" w:name="results"/>
    <w:p>
      <w:pPr>
        <w:pStyle w:val="Heading2"/>
      </w:pPr>
      <w:r>
        <w:t xml:space="preserve">2.3 Results</w:t>
      </w:r>
    </w:p>
    <w:bookmarkStart w:id="58"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57" w:name="fig-SpectraFIG"/>
          <w:p>
            <w:pPr>
              <w:pStyle w:val="Compact"/>
              <w:jc w:val="center"/>
            </w:pPr>
            <w:r>
              <w:drawing>
                <wp:inline>
                  <wp:extent cx="4572000" cy="4511649"/>
                  <wp:effectExtent b="0" l="0" r="0" t="0"/>
                  <wp:docPr descr="" title="" id="55" name="Picture"/>
                  <a:graphic>
                    <a:graphicData uri="http://schemas.openxmlformats.org/drawingml/2006/picture">
                      <pic:pic>
                        <pic:nvPicPr>
                          <pic:cNvPr descr="Chapter2/Figs/Figure4.jpg" id="56" name="Picture"/>
                          <pic:cNvPicPr>
                            <a:picLocks noChangeArrowheads="1" noChangeAspect="1"/>
                          </pic:cNvPicPr>
                        </pic:nvPicPr>
                        <pic:blipFill>
                          <a:blip r:embed="rId54"/>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57"/>
        </w:tc>
      </w:tr>
    </w:tbl>
    <w:bookmarkEnd w:id="58"/>
    <w:bookmarkStart w:id="63"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62" w:name="fig-MDSFIG"/>
          <w:p>
            <w:pPr>
              <w:pStyle w:val="Compact"/>
              <w:jc w:val="center"/>
            </w:pPr>
            <w:r>
              <w:drawing>
                <wp:inline>
                  <wp:extent cx="5241340" cy="5186476"/>
                  <wp:effectExtent b="0" l="0" r="0" t="0"/>
                  <wp:docPr descr="" title="" id="60" name="Picture"/>
                  <a:graphic>
                    <a:graphicData uri="http://schemas.openxmlformats.org/drawingml/2006/picture">
                      <pic:pic>
                        <pic:nvPicPr>
                          <pic:cNvPr descr="Chapter2/Figs/Figure5.jpg" id="61" name="Picture"/>
                          <pic:cNvPicPr>
                            <a:picLocks noChangeArrowheads="1" noChangeAspect="1"/>
                          </pic:cNvPicPr>
                        </pic:nvPicPr>
                        <pic:blipFill>
                          <a:blip r:embed="rId59"/>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62"/>
        </w:tc>
      </w:tr>
    </w:tbl>
    <w:bookmarkEnd w:id="63"/>
    <w:bookmarkStart w:id="80"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67" w:name="fig-MetricsFIG"/>
          <w:p>
            <w:pPr>
              <w:pStyle w:val="Compact"/>
              <w:jc w:val="center"/>
            </w:pPr>
            <w:r>
              <w:drawing>
                <wp:inline>
                  <wp:extent cx="4998110" cy="5012740"/>
                  <wp:effectExtent b="0" l="0" r="0" t="0"/>
                  <wp:docPr descr="" title="" id="65" name="Picture"/>
                  <a:graphic>
                    <a:graphicData uri="http://schemas.openxmlformats.org/drawingml/2006/picture">
                      <pic:pic>
                        <pic:nvPicPr>
                          <pic:cNvPr descr="Chapter2/Figs/Figure6.jpg" id="66" name="Picture"/>
                          <pic:cNvPicPr>
                            <a:picLocks noChangeArrowheads="1" noChangeAspect="1"/>
                          </pic:cNvPicPr>
                        </pic:nvPicPr>
                        <pic:blipFill>
                          <a:blip r:embed="rId64"/>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67"/>
        </w:tc>
      </w:tr>
    </w:tbl>
    <w:tbl>
      <w:tblPr>
        <w:tblStyle w:val="Table"/>
        <w:tblW w:type="pct" w:w="5000"/>
        <w:tblLayout w:type="fixed"/>
        <w:tblLook w:firstRow="0" w:lastRow="0" w:firstColumn="0" w:lastColumn="0" w:noHBand="0" w:noVBand="0" w:val="0000"/>
      </w:tblPr>
      <w:tblGrid>
        <w:gridCol w:w="7920"/>
      </w:tblGrid>
      <w:tr>
        <w:tc>
          <w:tcPr/>
          <w:bookmarkStart w:id="71"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69" name="Picture"/>
                  <a:graphic>
                    <a:graphicData uri="http://schemas.openxmlformats.org/drawingml/2006/picture">
                      <pic:pic>
                        <pic:nvPicPr>
                          <pic:cNvPr descr="Chapter2/Figs/metricsTable.png" id="70" name="Picture"/>
                          <pic:cNvPicPr>
                            <a:picLocks noChangeArrowheads="1" noChangeAspect="1"/>
                          </pic:cNvPicPr>
                        </pic:nvPicPr>
                        <pic:blipFill>
                          <a:blip r:embed="rId68"/>
                          <a:stretch>
                            <a:fillRect/>
                          </a:stretch>
                        </pic:blipFill>
                        <pic:spPr bwMode="auto">
                          <a:xfrm>
                            <a:off x="0" y="0"/>
                            <a:ext cx="5646420" cy="1870321"/>
                          </a:xfrm>
                          <a:prstGeom prst="rect">
                            <a:avLst/>
                          </a:prstGeom>
                          <a:noFill/>
                          <a:ln w="9525">
                            <a:noFill/>
                            <a:headEnd/>
                            <a:tailEnd/>
                          </a:ln>
                        </pic:spPr>
                      </pic:pic>
                    </a:graphicData>
                  </a:graphic>
                </wp:inline>
              </w:drawing>
            </w:r>
          </w:p>
          <w:bookmarkEnd w:id="71"/>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75" w:name="fig-VIPFIG"/>
          <w:p>
            <w:pPr>
              <w:pStyle w:val="Compact"/>
              <w:jc w:val="center"/>
            </w:pPr>
            <w:r>
              <w:drawing>
                <wp:inline>
                  <wp:extent cx="4753051" cy="4694529"/>
                  <wp:effectExtent b="0" l="0" r="0" t="0"/>
                  <wp:docPr descr="" title="" id="73" name="Picture"/>
                  <a:graphic>
                    <a:graphicData uri="http://schemas.openxmlformats.org/drawingml/2006/picture">
                      <pic:pic>
                        <pic:nvPicPr>
                          <pic:cNvPr descr="Chapter2/Figs/Figure7.jpg" id="74" name="Picture"/>
                          <pic:cNvPicPr>
                            <a:picLocks noChangeArrowheads="1" noChangeAspect="1"/>
                          </pic:cNvPicPr>
                        </pic:nvPicPr>
                        <pic:blipFill>
                          <a:blip r:embed="rId72"/>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75"/>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79" w:name="fig-VIPFunction"/>
          <w:p>
            <w:pPr>
              <w:pStyle w:val="Compact"/>
              <w:jc w:val="center"/>
            </w:pPr>
            <w:r>
              <w:drawing>
                <wp:inline>
                  <wp:extent cx="5226710" cy="5171846"/>
                  <wp:effectExtent b="0" l="0" r="0" t="0"/>
                  <wp:docPr descr="" title="" id="77" name="Picture"/>
                  <a:graphic>
                    <a:graphicData uri="http://schemas.openxmlformats.org/drawingml/2006/picture">
                      <pic:pic>
                        <pic:nvPicPr>
                          <pic:cNvPr descr="Chapter2/Figs/Figure8.jpg" id="78" name="Picture"/>
                          <pic:cNvPicPr>
                            <a:picLocks noChangeArrowheads="1" noChangeAspect="1"/>
                          </pic:cNvPicPr>
                        </pic:nvPicPr>
                        <pic:blipFill>
                          <a:blip r:embed="rId76"/>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79"/>
        </w:tc>
      </w:tr>
    </w:tbl>
    <w:bookmarkEnd w:id="80"/>
    <w:bookmarkStart w:id="85"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84" w:name="fig-ConfMatFIG"/>
          <w:p>
            <w:pPr>
              <w:pStyle w:val="Compact"/>
              <w:jc w:val="center"/>
            </w:pPr>
            <w:r>
              <w:drawing>
                <wp:inline>
                  <wp:extent cx="4319016" cy="4306824"/>
                  <wp:effectExtent b="0" l="0" r="0" t="0"/>
                  <wp:docPr descr="" title="" id="82" name="Picture"/>
                  <a:graphic>
                    <a:graphicData uri="http://schemas.openxmlformats.org/drawingml/2006/picture">
                      <pic:pic>
                        <pic:nvPicPr>
                          <pic:cNvPr descr="Chapter2/Figs/Figure9.jpg" id="83" name="Picture"/>
                          <pic:cNvPicPr>
                            <a:picLocks noChangeArrowheads="1" noChangeAspect="1"/>
                          </pic:cNvPicPr>
                        </pic:nvPicPr>
                        <pic:blipFill>
                          <a:blip r:embed="rId81"/>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84"/>
        </w:tc>
      </w:tr>
    </w:tbl>
    <w:bookmarkEnd w:id="85"/>
    <w:bookmarkEnd w:id="86"/>
    <w:bookmarkStart w:id="96" w:name="discussion"/>
    <w:p>
      <w:pPr>
        <w:pStyle w:val="Heading2"/>
      </w:pPr>
      <w:r>
        <w:t xml:space="preserve">2.4 Discussion</w:t>
      </w:r>
    </w:p>
    <w:bookmarkStart w:id="87"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2021a)</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87"/>
    <w:bookmarkStart w:id="92"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2013a;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91"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89" name="Picture"/>
                  <a:graphic>
                    <a:graphicData uri="http://schemas.openxmlformats.org/drawingml/2006/picture">
                      <pic:pic>
                        <pic:nvPicPr>
                          <pic:cNvPr descr="Chapter2/Figs/pigmentTable.png" id="90" name="Picture"/>
                          <pic:cNvPicPr>
                            <a:picLocks noChangeArrowheads="1" noChangeAspect="1"/>
                          </pic:cNvPicPr>
                        </pic:nvPicPr>
                        <pic:blipFill>
                          <a:blip r:embed="rId88"/>
                          <a:stretch>
                            <a:fillRect/>
                          </a:stretch>
                        </pic:blipFill>
                        <pic:spPr bwMode="auto">
                          <a:xfrm>
                            <a:off x="0" y="0"/>
                            <a:ext cx="5646420" cy="1510798"/>
                          </a:xfrm>
                          <a:prstGeom prst="rect">
                            <a:avLst/>
                          </a:prstGeom>
                          <a:noFill/>
                          <a:ln w="9525">
                            <a:noFill/>
                            <a:headEnd/>
                            <a:tailEnd/>
                          </a:ln>
                        </pic:spPr>
                      </pic:pic>
                    </a:graphicData>
                  </a:graphic>
                </wp:inline>
              </w:drawing>
            </w:r>
          </w:p>
          <w:bookmarkEnd w:id="91"/>
        </w:tc>
      </w:tr>
    </w:tbl>
    <w:bookmarkEnd w:id="92"/>
    <w:bookmarkStart w:id="93"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2013a)</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93"/>
    <w:bookmarkStart w:id="94"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94"/>
    <w:bookmarkStart w:id="95"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2020b)</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95"/>
    <w:bookmarkEnd w:id="96"/>
    <w:bookmarkEnd w:id="97"/>
    <w:bookmarkStart w:id="191" w:name="X27e1cd8292c123eed0e7ee2bdbf2cbaf1b8c277"/>
    <w:p>
      <w:pPr>
        <w:pStyle w:val="Heading1"/>
      </w:pPr>
      <w:r>
        <w:t xml:space="preserve">3. Discriminating Seagrasses from Green Macroalgae in European Intertidal Areas Using High-Resolution Multispectral Drone Imagery</w:t>
      </w:r>
    </w:p>
    <w:bookmarkStart w:id="98"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98"/>
    <w:bookmarkStart w:id="133" w:name="material-methods"/>
    <w:p>
      <w:pPr>
        <w:pStyle w:val="Heading2"/>
      </w:pPr>
      <w:r>
        <w:t xml:space="preserve">3.2 Material &amp; Methods</w:t>
      </w:r>
    </w:p>
    <w:bookmarkStart w:id="10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2020a)</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02" w:name="fig-map"/>
          <w:p>
            <w:pPr>
              <w:pStyle w:val="Compact"/>
              <w:jc w:val="center"/>
            </w:pPr>
            <w:r>
              <w:drawing>
                <wp:inline>
                  <wp:extent cx="5646420" cy="5646420"/>
                  <wp:effectExtent b="0" l="0" r="0" t="0"/>
                  <wp:docPr descr="" title="" id="100" name="Picture"/>
                  <a:graphic>
                    <a:graphicData uri="http://schemas.openxmlformats.org/drawingml/2006/picture">
                      <pic:pic>
                        <pic:nvPicPr>
                          <pic:cNvPr descr="Chapter3/Figs/Figure1.png" id="101" name="Picture"/>
                          <pic:cNvPicPr>
                            <a:picLocks noChangeArrowheads="1" noChangeAspect="1"/>
                          </pic:cNvPicPr>
                        </pic:nvPicPr>
                        <pic:blipFill>
                          <a:blip r:embed="rId9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02"/>
        </w:tc>
      </w:tr>
    </w:tbl>
    <w:bookmarkEnd w:id="103"/>
    <w:bookmarkStart w:id="114" w:name="field-sampling"/>
    <w:p>
      <w:pPr>
        <w:pStyle w:val="Heading3"/>
      </w:pPr>
      <w:r>
        <w:t xml:space="preserve">3.2.2 Field sampling</w:t>
      </w:r>
    </w:p>
    <w:bookmarkStart w:id="10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0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05" name="Picture"/>
                  <a:graphic>
                    <a:graphicData uri="http://schemas.openxmlformats.org/drawingml/2006/picture">
                      <pic:pic>
                        <pic:nvPicPr>
                          <pic:cNvPr descr="Chapter3/Figs/Table1.png" id="106" name="Picture"/>
                          <pic:cNvPicPr>
                            <a:picLocks noChangeArrowheads="1" noChangeAspect="1"/>
                          </pic:cNvPicPr>
                        </pic:nvPicPr>
                        <pic:blipFill>
                          <a:blip r:embed="rId104"/>
                          <a:stretch>
                            <a:fillRect/>
                          </a:stretch>
                        </pic:blipFill>
                        <pic:spPr bwMode="auto">
                          <a:xfrm>
                            <a:off x="0" y="0"/>
                            <a:ext cx="5646420" cy="2477358"/>
                          </a:xfrm>
                          <a:prstGeom prst="rect">
                            <a:avLst/>
                          </a:prstGeom>
                          <a:noFill/>
                          <a:ln w="9525">
                            <a:noFill/>
                            <a:headEnd/>
                            <a:tailEnd/>
                          </a:ln>
                        </pic:spPr>
                      </pic:pic>
                    </a:graphicData>
                  </a:graphic>
                </wp:inline>
              </w:drawing>
            </w:r>
          </w:p>
          <w:bookmarkEnd w:id="107"/>
        </w:tc>
      </w:tr>
    </w:tbl>
    <w:bookmarkEnd w:id="108"/>
    <w:bookmarkStart w:id="11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12" w:name="fig-vegetation"/>
          <w:p>
            <w:pPr>
              <w:pStyle w:val="Compact"/>
              <w:jc w:val="center"/>
            </w:pPr>
            <w:r>
              <w:drawing>
                <wp:inline>
                  <wp:extent cx="5646420" cy="3952494"/>
                  <wp:effectExtent b="0" l="0" r="0" t="0"/>
                  <wp:docPr descr="" title="" id="110" name="Picture"/>
                  <a:graphic>
                    <a:graphicData uri="http://schemas.openxmlformats.org/drawingml/2006/picture">
                      <pic:pic>
                        <pic:nvPicPr>
                          <pic:cNvPr descr="Chapter3/Figs/Figure2.png" id="111" name="Picture"/>
                          <pic:cNvPicPr>
                            <a:picLocks noChangeArrowheads="1" noChangeAspect="1"/>
                          </pic:cNvPicPr>
                        </pic:nvPicPr>
                        <pic:blipFill>
                          <a:blip r:embed="rId10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12"/>
        </w:tc>
      </w:tr>
    </w:tbl>
    <w:bookmarkEnd w:id="113"/>
    <w:bookmarkEnd w:id="114"/>
    <w:bookmarkStart w:id="11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15"/>
    <w:bookmarkStart w:id="129"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9" w:name="fig-workflow"/>
          <w:p>
            <w:pPr>
              <w:pStyle w:val="Compact"/>
              <w:jc w:val="center"/>
            </w:pPr>
            <w:r>
              <w:drawing>
                <wp:inline>
                  <wp:extent cx="5646420" cy="3320212"/>
                  <wp:effectExtent b="0" l="0" r="0" t="0"/>
                  <wp:docPr descr="" title="" id="117" name="Picture"/>
                  <a:graphic>
                    <a:graphicData uri="http://schemas.openxmlformats.org/drawingml/2006/picture">
                      <pic:pic>
                        <pic:nvPicPr>
                          <pic:cNvPr descr="Chapter3/Figs/Figure3.png" id="118" name="Picture"/>
                          <pic:cNvPicPr>
                            <a:picLocks noChangeArrowheads="1" noChangeAspect="1"/>
                          </pic:cNvPicPr>
                        </pic:nvPicPr>
                        <pic:blipFill>
                          <a:blip r:embed="rId11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19"/>
        </w:tc>
      </w:tr>
    </w:tbl>
    <w:bookmarkStart w:id="126"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2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21" name="Picture"/>
                  <a:graphic>
                    <a:graphicData uri="http://schemas.openxmlformats.org/drawingml/2006/picture">
                      <pic:pic>
                        <pic:nvPicPr>
                          <pic:cNvPr descr="Chapter3/Figs/Table2.png" id="122" name="Picture"/>
                          <pic:cNvPicPr>
                            <a:picLocks noChangeArrowheads="1" noChangeAspect="1"/>
                          </pic:cNvPicPr>
                        </pic:nvPicPr>
                        <pic:blipFill>
                          <a:blip r:embed="rId120"/>
                          <a:stretch>
                            <a:fillRect/>
                          </a:stretch>
                        </pic:blipFill>
                        <pic:spPr bwMode="auto">
                          <a:xfrm>
                            <a:off x="0" y="0"/>
                            <a:ext cx="5646420" cy="2011714"/>
                          </a:xfrm>
                          <a:prstGeom prst="rect">
                            <a:avLst/>
                          </a:prstGeom>
                          <a:noFill/>
                          <a:ln w="9525">
                            <a:noFill/>
                            <a:headEnd/>
                            <a:tailEnd/>
                          </a:ln>
                        </pic:spPr>
                      </pic:pic>
                    </a:graphicData>
                  </a:graphic>
                </wp:inline>
              </w:drawing>
            </w:r>
          </w:p>
          <w:bookmarkEnd w:id="12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24"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24"/>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25"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25"/>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26"/>
    <w:bookmarkStart w:id="127"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27"/>
    <w:bookmarkStart w:id="128"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28"/>
    <w:bookmarkEnd w:id="129"/>
    <w:bookmarkStart w:id="130"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30"/>
    <w:bookmarkStart w:id="131"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31"/>
    <w:bookmarkStart w:id="132"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32"/>
    <w:bookmarkEnd w:id="133"/>
    <w:bookmarkStart w:id="176" w:name="results-1"/>
    <w:p>
      <w:pPr>
        <w:pStyle w:val="Heading2"/>
      </w:pPr>
      <w:r>
        <w:t xml:space="preserve">3.3 Results</w:t>
      </w:r>
    </w:p>
    <w:bookmarkStart w:id="138"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7" w:name="fig-CompareRef"/>
          <w:p>
            <w:pPr>
              <w:pStyle w:val="Compact"/>
              <w:jc w:val="center"/>
            </w:pPr>
            <w:r>
              <w:drawing>
                <wp:inline>
                  <wp:extent cx="5646420" cy="2426196"/>
                  <wp:effectExtent b="0" l="0" r="0" t="0"/>
                  <wp:docPr descr="" title="" id="135" name="Picture"/>
                  <a:graphic>
                    <a:graphicData uri="http://schemas.openxmlformats.org/drawingml/2006/picture">
                      <pic:pic>
                        <pic:nvPicPr>
                          <pic:cNvPr descr="Chapter3/Figs/Figure4.png" id="136" name="Picture"/>
                          <pic:cNvPicPr>
                            <a:picLocks noChangeArrowheads="1" noChangeAspect="1"/>
                          </pic:cNvPicPr>
                        </pic:nvPicPr>
                        <pic:blipFill>
                          <a:blip r:embed="rId134"/>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37"/>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38"/>
    <w:bookmarkStart w:id="155"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42" w:name="fig-GafLow"/>
          <w:p>
            <w:pPr>
              <w:pStyle w:val="Compact"/>
              <w:jc w:val="center"/>
            </w:pPr>
            <w:r>
              <w:drawing>
                <wp:inline>
                  <wp:extent cx="5646420" cy="2937902"/>
                  <wp:effectExtent b="0" l="0" r="0" t="0"/>
                  <wp:docPr descr="" title="" id="140" name="Picture"/>
                  <a:graphic>
                    <a:graphicData uri="http://schemas.openxmlformats.org/drawingml/2006/picture">
                      <pic:pic>
                        <pic:nvPicPr>
                          <pic:cNvPr descr="Chapter3/Figs/Figure5.png" id="141" name="Picture"/>
                          <pic:cNvPicPr>
                            <a:picLocks noChangeArrowheads="1" noChangeAspect="1"/>
                          </pic:cNvPicPr>
                        </pic:nvPicPr>
                        <pic:blipFill>
                          <a:blip r:embed="rId139"/>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42"/>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146" w:name="fig-GafHigh"/>
          <w:p>
            <w:pPr>
              <w:pStyle w:val="Compact"/>
              <w:jc w:val="center"/>
            </w:pPr>
            <w:r>
              <w:drawing>
                <wp:inline>
                  <wp:extent cx="5646420" cy="4800778"/>
                  <wp:effectExtent b="0" l="0" r="0" t="0"/>
                  <wp:docPr descr="" title="" id="144" name="Picture"/>
                  <a:graphic>
                    <a:graphicData uri="http://schemas.openxmlformats.org/drawingml/2006/picture">
                      <pic:pic>
                        <pic:nvPicPr>
                          <pic:cNvPr descr="Chapter3/Figs/Figure6.png" id="145" name="Picture"/>
                          <pic:cNvPicPr>
                            <a:picLocks noChangeArrowheads="1" noChangeAspect="1"/>
                          </pic:cNvPicPr>
                        </pic:nvPicPr>
                        <pic:blipFill>
                          <a:blip r:embed="rId143"/>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146"/>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150" w:name="fig-Boat"/>
          <w:p>
            <w:pPr>
              <w:pStyle w:val="Compact"/>
              <w:jc w:val="center"/>
            </w:pPr>
            <w:r>
              <w:drawing>
                <wp:inline>
                  <wp:extent cx="5646420" cy="7129639"/>
                  <wp:effectExtent b="0" l="0" r="0" t="0"/>
                  <wp:docPr descr="" title="" id="148" name="Picture"/>
                  <a:graphic>
                    <a:graphicData uri="http://schemas.openxmlformats.org/drawingml/2006/picture">
                      <pic:pic>
                        <pic:nvPicPr>
                          <pic:cNvPr descr="Chapter3/Figs/Figure7.png" id="149" name="Picture"/>
                          <pic:cNvPicPr>
                            <a:picLocks noChangeArrowheads="1" noChangeAspect="1"/>
                          </pic:cNvPicPr>
                        </pic:nvPicPr>
                        <pic:blipFill>
                          <a:blip r:embed="rId147"/>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150"/>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154" w:name="fig-Dike"/>
          <w:p>
            <w:pPr>
              <w:pStyle w:val="Compact"/>
              <w:jc w:val="center"/>
            </w:pPr>
            <w:r>
              <w:drawing>
                <wp:inline>
                  <wp:extent cx="5646420" cy="4714079"/>
                  <wp:effectExtent b="0" l="0" r="0" t="0"/>
                  <wp:docPr descr="" title="" id="152" name="Picture"/>
                  <a:graphic>
                    <a:graphicData uri="http://schemas.openxmlformats.org/drawingml/2006/picture">
                      <pic:pic>
                        <pic:nvPicPr>
                          <pic:cNvPr descr="Chapter3/Figs/Figure8.png" id="153" name="Picture"/>
                          <pic:cNvPicPr>
                            <a:picLocks noChangeArrowheads="1" noChangeAspect="1"/>
                          </pic:cNvPicPr>
                        </pic:nvPicPr>
                        <pic:blipFill>
                          <a:blip r:embed="rId151"/>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154"/>
        </w:tc>
      </w:tr>
    </w:tbl>
    <w:bookmarkEnd w:id="155"/>
    <w:bookmarkStart w:id="160"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9" w:name="fig-Validation"/>
          <w:p>
            <w:pPr>
              <w:pStyle w:val="Compact"/>
              <w:jc w:val="center"/>
            </w:pPr>
            <w:r>
              <w:drawing>
                <wp:inline>
                  <wp:extent cx="5646420" cy="3781151"/>
                  <wp:effectExtent b="0" l="0" r="0" t="0"/>
                  <wp:docPr descr="" title="" id="157" name="Picture"/>
                  <a:graphic>
                    <a:graphicData uri="http://schemas.openxmlformats.org/drawingml/2006/picture">
                      <pic:pic>
                        <pic:nvPicPr>
                          <pic:cNvPr descr="Chapter3/Figs/Figure9.png" id="158" name="Picture"/>
                          <pic:cNvPicPr>
                            <a:picLocks noChangeArrowheads="1" noChangeAspect="1"/>
                          </pic:cNvPicPr>
                        </pic:nvPicPr>
                        <pic:blipFill>
                          <a:blip r:embed="rId156"/>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159"/>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160"/>
    <w:bookmarkStart w:id="165"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4" w:name="fig-VIP"/>
          <w:p>
            <w:pPr>
              <w:pStyle w:val="Compact"/>
              <w:jc w:val="center"/>
            </w:pPr>
            <w:r>
              <w:drawing>
                <wp:inline>
                  <wp:extent cx="5646420" cy="4164933"/>
                  <wp:effectExtent b="0" l="0" r="0" t="0"/>
                  <wp:docPr descr="" title="" id="162" name="Picture"/>
                  <a:graphic>
                    <a:graphicData uri="http://schemas.openxmlformats.org/drawingml/2006/picture">
                      <pic:pic>
                        <pic:nvPicPr>
                          <pic:cNvPr descr="Chapter3/Figs/Figure10.png" id="163" name="Picture"/>
                          <pic:cNvPicPr>
                            <a:picLocks noChangeArrowheads="1" noChangeAspect="1"/>
                          </pic:cNvPicPr>
                        </pic:nvPicPr>
                        <pic:blipFill>
                          <a:blip r:embed="rId161"/>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164"/>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165"/>
    <w:bookmarkStart w:id="170"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169" w:name="fig-pixelsize"/>
          <w:p>
            <w:pPr>
              <w:pStyle w:val="Compact"/>
              <w:jc w:val="center"/>
            </w:pPr>
            <w:r>
              <w:drawing>
                <wp:inline>
                  <wp:extent cx="5349240" cy="4312690"/>
                  <wp:effectExtent b="0" l="0" r="0" t="0"/>
                  <wp:docPr descr="" title="" id="167" name="Picture"/>
                  <a:graphic>
                    <a:graphicData uri="http://schemas.openxmlformats.org/drawingml/2006/picture">
                      <pic:pic>
                        <pic:nvPicPr>
                          <pic:cNvPr descr="Chapter3/Figs/Figure11.png" id="168" name="Picture"/>
                          <pic:cNvPicPr>
                            <a:picLocks noChangeArrowheads="1" noChangeAspect="1"/>
                          </pic:cNvPicPr>
                        </pic:nvPicPr>
                        <pic:blipFill>
                          <a:blip r:embed="rId166"/>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69"/>
        </w:tc>
      </w:tr>
    </w:tbl>
    <w:bookmarkEnd w:id="170"/>
    <w:bookmarkStart w:id="175"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4" w:name="fig-upscaling"/>
          <w:p>
            <w:pPr>
              <w:pStyle w:val="Compact"/>
              <w:jc w:val="center"/>
            </w:pPr>
            <w:r>
              <w:drawing>
                <wp:inline>
                  <wp:extent cx="5646420" cy="7578268"/>
                  <wp:effectExtent b="0" l="0" r="0" t="0"/>
                  <wp:docPr descr="" title="" id="172" name="Picture"/>
                  <a:graphic>
                    <a:graphicData uri="http://schemas.openxmlformats.org/drawingml/2006/picture">
                      <pic:pic>
                        <pic:nvPicPr>
                          <pic:cNvPr descr="Chapter3/Figs/Figure12.png" id="173" name="Picture"/>
                          <pic:cNvPicPr>
                            <a:picLocks noChangeArrowheads="1" noChangeAspect="1"/>
                          </pic:cNvPicPr>
                        </pic:nvPicPr>
                        <pic:blipFill>
                          <a:blip r:embed="rId171"/>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74"/>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75"/>
    <w:bookmarkEnd w:id="176"/>
    <w:bookmarkStart w:id="189" w:name="discussion-1"/>
    <w:p>
      <w:pPr>
        <w:pStyle w:val="Heading2"/>
      </w:pPr>
      <w:r>
        <w:t xml:space="preserve">3.4 Discussion</w:t>
      </w:r>
    </w:p>
    <w:bookmarkStart w:id="185"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2021b;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180" w:name="fig-Pigm"/>
          <w:p>
            <w:pPr>
              <w:pStyle w:val="Compact"/>
              <w:jc w:val="center"/>
            </w:pPr>
            <w:r>
              <w:drawing>
                <wp:inline>
                  <wp:extent cx="5943600" cy="2877014"/>
                  <wp:effectExtent b="0" l="0" r="0" t="0"/>
                  <wp:docPr descr="" title="" id="178" name="Picture"/>
                  <a:graphic>
                    <a:graphicData uri="http://schemas.openxmlformats.org/drawingml/2006/picture">
                      <pic:pic>
                        <pic:nvPicPr>
                          <pic:cNvPr descr="Chapter3/Figs/Figure13.png" id="179" name="Picture"/>
                          <pic:cNvPicPr>
                            <a:picLocks noChangeArrowheads="1" noChangeAspect="1"/>
                          </pic:cNvPicPr>
                        </pic:nvPicPr>
                        <pic:blipFill>
                          <a:blip r:embed="rId177"/>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180"/>
        </w:tc>
      </w:tr>
    </w:tbl>
    <w:tbl>
      <w:tblPr>
        <w:tblStyle w:val="Table"/>
        <w:tblW w:type="pct" w:w="5000"/>
        <w:tblLayout w:type="fixed"/>
        <w:tblLook w:firstRow="0" w:lastRow="0" w:firstColumn="0" w:lastColumn="0" w:noHBand="0" w:noVBand="0" w:val="0000"/>
      </w:tblPr>
      <w:tblGrid>
        <w:gridCol w:w="7920"/>
      </w:tblGrid>
      <w:tr>
        <w:tc>
          <w:tcPr/>
          <w:bookmarkStart w:id="184" w:name="fig-ValidationGreen"/>
          <w:p>
            <w:pPr>
              <w:pStyle w:val="Compact"/>
              <w:jc w:val="center"/>
            </w:pPr>
            <w:r>
              <w:drawing>
                <wp:inline>
                  <wp:extent cx="2971800" cy="2121448"/>
                  <wp:effectExtent b="0" l="0" r="0" t="0"/>
                  <wp:docPr descr="" title="" id="182" name="Picture"/>
                  <a:graphic>
                    <a:graphicData uri="http://schemas.openxmlformats.org/drawingml/2006/picture">
                      <pic:pic>
                        <pic:nvPicPr>
                          <pic:cNvPr descr="Chapter3/Figs/Figure14.png" id="183" name="Picture"/>
                          <pic:cNvPicPr>
                            <a:picLocks noChangeArrowheads="1" noChangeAspect="1"/>
                          </pic:cNvPicPr>
                        </pic:nvPicPr>
                        <pic:blipFill>
                          <a:blip r:embed="rId181"/>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184"/>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2013b)</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185"/>
    <w:bookmarkStart w:id="186"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2013b;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86"/>
    <w:bookmarkStart w:id="187"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87"/>
    <w:bookmarkStart w:id="188"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2021b;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88"/>
    <w:bookmarkEnd w:id="189"/>
    <w:bookmarkStart w:id="190"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190"/>
    <w:bookmarkEnd w:id="191"/>
    <w:bookmarkStart w:id="192"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192"/>
    <w:bookmarkStart w:id="428" w:name="references"/>
    <w:p>
      <w:pPr>
        <w:pStyle w:val="Heading1"/>
      </w:pPr>
      <w:r>
        <w:t xml:space="preserve">References</w:t>
      </w:r>
    </w:p>
    <w:bookmarkStart w:id="427" w:name="refs"/>
    <w:bookmarkStart w:id="193" w:name="ref-adade2021"/>
    <w:p>
      <w:pPr>
        <w:pStyle w:val="Bibliography"/>
      </w:pPr>
      <w:r>
        <w:t xml:space="preserve">Adade, R., Aibinu, A.M., Ekumah, B., Asaana, J., 2021. Unmanned aerial vehicle (UAV) applications in coastal zone management—a review. Environmental Monitoring and Assessment 193, 1–12.</w:t>
      </w:r>
    </w:p>
    <w:bookmarkEnd w:id="193"/>
    <w:bookmarkStart w:id="194" w:name="ref-aghanim2020resultats"/>
    <w:p>
      <w:pPr>
        <w:pStyle w:val="Bibliography"/>
      </w:pPr>
      <w:r>
        <w:t xml:space="preserve">Aghanim, N., Dole, H., 2020. Les r</w:t>
      </w:r>
      <w:r>
        <w:t xml:space="preserve">é</w:t>
      </w:r>
      <w:r>
        <w:t xml:space="preserve">sultats cosmologiques de la mission planck. Reflets de la physique 4–7.</w:t>
      </w:r>
    </w:p>
    <w:bookmarkEnd w:id="194"/>
    <w:bookmarkStart w:id="196" w:name="ref-agisoft"/>
    <w:p>
      <w:pPr>
        <w:pStyle w:val="Bibliography"/>
      </w:pPr>
      <w:r>
        <w:t xml:space="preserve">Agisoft, 2019.</w:t>
      </w:r>
      <w:r>
        <w:t xml:space="preserve"> </w:t>
      </w:r>
      <w:hyperlink r:id="rId195">
        <w:r>
          <w:rPr>
            <w:rStyle w:val="Hyperlink"/>
          </w:rPr>
          <w:t xml:space="preserve">Agisoft metashape</w:t>
        </w:r>
      </w:hyperlink>
      <w:r>
        <w:t xml:space="preserve">.</w:t>
      </w:r>
    </w:p>
    <w:bookmarkEnd w:id="196"/>
    <w:bookmarkStart w:id="197"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97"/>
    <w:bookmarkStart w:id="199" w:name="ref-ASI2020"/>
    <w:p>
      <w:pPr>
        <w:pStyle w:val="Bibliography"/>
      </w:pPr>
      <w:r>
        <w:t xml:space="preserve">ASI, 2020.</w:t>
      </w:r>
      <w:r>
        <w:t xml:space="preserve"> </w:t>
      </w:r>
      <w:hyperlink r:id="rId198">
        <w:r>
          <w:rPr>
            <w:rStyle w:val="Hyperlink"/>
          </w:rPr>
          <w:t xml:space="preserve">PRISMA products specification document issue 2.3 date 12/03/2020</w:t>
        </w:r>
      </w:hyperlink>
      <w:r>
        <w:t xml:space="preserve">.</w:t>
      </w:r>
    </w:p>
    <w:bookmarkEnd w:id="199"/>
    <w:bookmarkStart w:id="200"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00"/>
    <w:bookmarkStart w:id="20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01"/>
    <w:bookmarkStart w:id="202" w:name="ref-Bargain2012"/>
    <w:p>
      <w:pPr>
        <w:pStyle w:val="Bibliography"/>
      </w:pPr>
      <w:r>
        <w:t xml:space="preserve">Bargain, A., Robin, M., Le Men, E., Huete, A., Barillé, L., 2012. Spectral response of the seagrass zostera noltii with different sediment backgrounds. Aquatic Botany 98, 45–56.</w:t>
      </w:r>
    </w:p>
    <w:bookmarkEnd w:id="202"/>
    <w:bookmarkStart w:id="204" w:name="ref-Bargain2013"/>
    <w:p>
      <w:pPr>
        <w:pStyle w:val="Bibliography"/>
      </w:pPr>
      <w:r>
        <w:t xml:space="preserve">Bargain, A., Robin, M., Méléder, V., Rosa, P., Le Menn, E., Harin, N., Barillé, L., 2013a.</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03">
        <w:r>
          <w:rPr>
            <w:rStyle w:val="Hyperlink"/>
          </w:rPr>
          <w:t xml:space="preserve">https://doi.org/10.1016/j.jembe.2013.04.012</w:t>
        </w:r>
      </w:hyperlink>
    </w:p>
    <w:bookmarkEnd w:id="204"/>
    <w:bookmarkStart w:id="205" w:name="ref-bargain2013seasonal"/>
    <w:p>
      <w:pPr>
        <w:pStyle w:val="Bibliography"/>
      </w:pPr>
      <w:r>
        <w:t xml:space="preserve">Bargain, A., Robin, M., Méléder, V., Rosa, P., Le Menn, E., Harin, N., Barillé, L., 2013b. Seasonal spectral variation of zostera noltii and its influence on pigment-based vegetation indices. Journal of experimental marine biology and ecology 446, 86–94.</w:t>
      </w:r>
    </w:p>
    <w:bookmarkEnd w:id="205"/>
    <w:bookmarkStart w:id="207"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06">
        <w:r>
          <w:rPr>
            <w:rStyle w:val="Hyperlink"/>
          </w:rPr>
          <w:t xml:space="preserve">https://doi.org/10.1016/j.rse.2010.12.008</w:t>
        </w:r>
      </w:hyperlink>
    </w:p>
    <w:bookmarkEnd w:id="207"/>
    <w:bookmarkStart w:id="209"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08">
        <w:r>
          <w:rPr>
            <w:rStyle w:val="Hyperlink"/>
          </w:rPr>
          <w:t xml:space="preserve">https://doi.org/10.1016/j.aquabot.2009.11.006</w:t>
        </w:r>
      </w:hyperlink>
    </w:p>
    <w:bookmarkEnd w:id="209"/>
    <w:bookmarkStart w:id="210" w:name="ref-beach1997vivo"/>
    <w:p>
      <w:pPr>
        <w:pStyle w:val="Bibliography"/>
      </w:pPr>
      <w:r>
        <w:t xml:space="preserve">Beach, K., Borgeas, H., Nishimura, N., Smith, C., 1997. In vivo absorbance spectra and the ecophysiology of reef macroalgae. Coral Reefs 16, 21–28.</w:t>
      </w:r>
    </w:p>
    <w:bookmarkEnd w:id="210"/>
    <w:bookmarkStart w:id="212"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11">
        <w:r>
          <w:rPr>
            <w:rStyle w:val="Hyperlink"/>
          </w:rPr>
          <w:t xml:space="preserve">https://doi.org/10.1007/s003380050055</w:t>
        </w:r>
      </w:hyperlink>
    </w:p>
    <w:bookmarkEnd w:id="212"/>
    <w:bookmarkStart w:id="214"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13">
        <w:r>
          <w:rPr>
            <w:rStyle w:val="Hyperlink"/>
          </w:rPr>
          <w:t xml:space="preserve">https://doi.org/10.1007/s12237-021-00949-8</w:t>
        </w:r>
      </w:hyperlink>
    </w:p>
    <w:bookmarkEnd w:id="214"/>
    <w:bookmarkStart w:id="216" w:name="ref-Brondizio2019"/>
    <w:p>
      <w:pPr>
        <w:pStyle w:val="Bibliography"/>
      </w:pPr>
      <w:r>
        <w:t xml:space="preserve">Brondízio, E.S., Settele, J., Díaz, S., Ngo, H.T.(eds)., 2019.</w:t>
      </w:r>
      <w:r>
        <w:t xml:space="preserve"> </w:t>
      </w:r>
      <w:hyperlink r:id="rId215">
        <w:r>
          <w:rPr>
            <w:rStyle w:val="Hyperlink"/>
          </w:rPr>
          <w:t xml:space="preserve">IPBES (2019), Global assessment report of the Intergovernmental Science-Policy Platform on Biodiversity and Ecosystem Services</w:t>
        </w:r>
      </w:hyperlink>
      <w:r>
        <w:t xml:space="preserve">.</w:t>
      </w:r>
    </w:p>
    <w:bookmarkEnd w:id="216"/>
    <w:bookmarkStart w:id="218"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17">
        <w:r>
          <w:rPr>
            <w:rStyle w:val="Hyperlink"/>
          </w:rPr>
          <w:t xml:space="preserve">https://doi.org/10.3390/RS14020307</w:t>
        </w:r>
      </w:hyperlink>
    </w:p>
    <w:bookmarkEnd w:id="218"/>
    <w:bookmarkStart w:id="219"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19"/>
    <w:bookmarkStart w:id="221"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20">
        <w:r>
          <w:rPr>
            <w:rStyle w:val="Hyperlink"/>
          </w:rPr>
          <w:t xml:space="preserve">https://doi.org/10.1139/cjfas-2016-0137</w:t>
        </w:r>
      </w:hyperlink>
    </w:p>
    <w:bookmarkEnd w:id="221"/>
    <w:bookmarkStart w:id="222"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22"/>
    <w:bookmarkStart w:id="223"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23"/>
    <w:bookmarkStart w:id="225"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24">
        <w:r>
          <w:rPr>
            <w:rStyle w:val="Hyperlink"/>
          </w:rPr>
          <w:t xml:space="preserve">https://doi.org/10.1016/j.csr.2013.01.010</w:t>
        </w:r>
      </w:hyperlink>
    </w:p>
    <w:bookmarkEnd w:id="225"/>
    <w:bookmarkStart w:id="227"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26">
        <w:r>
          <w:rPr>
            <w:rStyle w:val="Hyperlink"/>
          </w:rPr>
          <w:t xml:space="preserve">https://doi.org/10.1007/s00227-012-1987-5</w:t>
        </w:r>
      </w:hyperlink>
    </w:p>
    <w:bookmarkEnd w:id="227"/>
    <w:bookmarkStart w:id="228" w:name="ref-casella2020"/>
    <w:p>
      <w:pPr>
        <w:pStyle w:val="Bibliography"/>
      </w:pPr>
      <w:r>
        <w:t xml:space="preserve">Casella, E., Drechsel, J., Winter, C., Benninghoff, M., Rovere, A., 2020. Accuracy of sand beach topography surveying by drones and photogrammetry. Geo-Marine Letters 40, 255–268.</w:t>
      </w:r>
    </w:p>
    <w:bookmarkEnd w:id="228"/>
    <w:bookmarkStart w:id="230"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29">
        <w:r>
          <w:rPr>
            <w:rStyle w:val="Hyperlink"/>
          </w:rPr>
          <w:t xml:space="preserve">https://doi.org/10.1016/j.algal.2017.04.021</w:t>
        </w:r>
      </w:hyperlink>
    </w:p>
    <w:bookmarkEnd w:id="230"/>
    <w:bookmarkStart w:id="231"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31"/>
    <w:bookmarkStart w:id="232" w:name="ref-chefaoui2018dramatic"/>
    <w:p>
      <w:pPr>
        <w:pStyle w:val="Bibliography"/>
      </w:pPr>
      <w:r>
        <w:t xml:space="preserve">Chefaoui, R.M., Duarte, C.M., Serrão, E.A., 2018. Dramatic loss of seagrass habitat under projected climate change in the mediterranean sea. Global change biology 24, 4919–4928.</w:t>
      </w:r>
    </w:p>
    <w:bookmarkEnd w:id="232"/>
    <w:bookmarkStart w:id="233" w:name="ref-christensen1977seaweeds"/>
    <w:p>
      <w:pPr>
        <w:pStyle w:val="Bibliography"/>
      </w:pPr>
      <w:r>
        <w:t xml:space="preserve">Christensen, T., Dixon, P.S., Irvine, L.M., 1977. Seaweeds of the british isles: Tribophyceae (xanthophyceae). British Museum (Natural History).</w:t>
      </w:r>
    </w:p>
    <w:bookmarkEnd w:id="233"/>
    <w:bookmarkStart w:id="23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34"/>
    <w:bookmarkStart w:id="235" w:name="ref-collin2019improving"/>
    <w:p>
      <w:pPr>
        <w:pStyle w:val="Bibliography"/>
      </w:pPr>
      <w:r>
        <w:t xml:space="preserve">Collin, A., Dubois, S., James, D., Houet, T., 2019. Improving intertidal reef mapping using UAV surface, red edge, and near-infrared data. Drones 3, 67.</w:t>
      </w:r>
    </w:p>
    <w:bookmarkEnd w:id="235"/>
    <w:bookmarkStart w:id="236"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36"/>
    <w:bookmarkStart w:id="238"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37">
        <w:r>
          <w:rPr>
            <w:rStyle w:val="Hyperlink"/>
          </w:rPr>
          <w:t xml:space="preserve">https://doi.org/10.1016/j.ecolind.2020.107018</w:t>
        </w:r>
      </w:hyperlink>
    </w:p>
    <w:bookmarkEnd w:id="238"/>
    <w:bookmarkStart w:id="239"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39"/>
    <w:bookmarkStart w:id="240"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240"/>
    <w:bookmarkStart w:id="241"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241"/>
    <w:bookmarkStart w:id="243"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242">
        <w:r>
          <w:rPr>
            <w:rStyle w:val="Hyperlink"/>
          </w:rPr>
          <w:t xml:space="preserve">https://doi.org/10.1016/j.rse.2023.113554</w:t>
        </w:r>
      </w:hyperlink>
    </w:p>
    <w:bookmarkEnd w:id="243"/>
    <w:bookmarkStart w:id="244" w:name="ref-Davies2022b"/>
    <w:p>
      <w:pPr>
        <w:pStyle w:val="Bibliography"/>
      </w:pPr>
      <w:r>
        <w:t xml:space="preserve">Davies, B.F.R., Holmes, L., Attrill, M.J., Sheehan, E.V., 2022. Ecosystem benefits of adopting a whole-site approach to MPA management. Fisheries Management and Ecology.</w:t>
      </w:r>
    </w:p>
    <w:bookmarkEnd w:id="244"/>
    <w:bookmarkStart w:id="24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245"/>
    <w:bookmarkStart w:id="24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246"/>
    <w:bookmarkStart w:id="248" w:name="ref-BedeGbif"/>
    <w:p>
      <w:pPr>
        <w:pStyle w:val="Bibliography"/>
      </w:pPr>
      <w:r>
        <w:t xml:space="preserve">Davies, B.F.R., Sousa, A.I., Figueira, R., Oiry, S., Gernez, P., Barillé, L., 2023b. Benthic intertidal vegetation from the tagus estuary and aveiro lagoon.</w:t>
      </w:r>
      <w:r>
        <w:t xml:space="preserve"> </w:t>
      </w:r>
      <w:hyperlink r:id="rId247">
        <w:r>
          <w:rPr>
            <w:rStyle w:val="Hyperlink"/>
          </w:rPr>
          <w:t xml:space="preserve">https://doi.org/10.15468/n4ak6x</w:t>
        </w:r>
      </w:hyperlink>
    </w:p>
    <w:bookmarkEnd w:id="248"/>
    <w:bookmarkStart w:id="249"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249"/>
    <w:bookmarkStart w:id="250" w:name="ref-devlin2023nutrients"/>
    <w:p>
      <w:pPr>
        <w:pStyle w:val="Bibliography"/>
      </w:pPr>
      <w:r>
        <w:t xml:space="preserve">Devlin, M., Brodie, J., 2023. Nutrients and eutrophication, in: Marine Pollution–Monitoring, Management and Mitigation. Springer, pp. 75–100.</w:t>
      </w:r>
    </w:p>
    <w:bookmarkEnd w:id="250"/>
    <w:bookmarkStart w:id="252"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251">
        <w:r>
          <w:rPr>
            <w:rStyle w:val="Hyperlink"/>
          </w:rPr>
          <w:t xml:space="preserve">https://doi.org/10.1016/j.rse.2015.01.027</w:t>
        </w:r>
      </w:hyperlink>
    </w:p>
    <w:bookmarkEnd w:id="252"/>
    <w:bookmarkStart w:id="253"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253"/>
    <w:bookmarkStart w:id="255" w:name="ref-Douay2022"/>
    <w:p>
      <w:pPr>
        <w:pStyle w:val="Bibliography"/>
      </w:pPr>
      <w:r>
        <w:t xml:space="preserve">Douay, F., Verpoorter, C., Duong, G., Spilmont, N., Gevaert, F., 2022. New hyperspectral procedure to discriminate intertidal macroalgae. Remote Sensing 14.</w:t>
      </w:r>
      <w:r>
        <w:t xml:space="preserve"> </w:t>
      </w:r>
      <w:hyperlink r:id="rId254">
        <w:r>
          <w:rPr>
            <w:rStyle w:val="Hyperlink"/>
          </w:rPr>
          <w:t xml:space="preserve">https://doi.org/10.3390/rs14020346</w:t>
        </w:r>
      </w:hyperlink>
    </w:p>
    <w:bookmarkEnd w:id="255"/>
    <w:bookmarkStart w:id="256"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256"/>
    <w:bookmarkStart w:id="257"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257"/>
    <w:bookmarkStart w:id="258"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258"/>
    <w:bookmarkStart w:id="259"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259"/>
    <w:bookmarkStart w:id="260"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260"/>
    <w:bookmarkStart w:id="261"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261"/>
    <w:bookmarkStart w:id="262"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262"/>
    <w:bookmarkStart w:id="263" w:name="ref-foden2007angiosperms"/>
    <w:p>
      <w:pPr>
        <w:pStyle w:val="Bibliography"/>
      </w:pPr>
      <w:r>
        <w:t xml:space="preserve">Foden, J., Brazier, D., 2007. Angiosperms (seagrass) within the EU water framework directive: A UK perspective. Marine Pollution Bulletin 55, 181–195.</w:t>
      </w:r>
    </w:p>
    <w:bookmarkEnd w:id="263"/>
    <w:bookmarkStart w:id="264"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264"/>
    <w:bookmarkStart w:id="266" w:name="ref-R-rsample"/>
    <w:p>
      <w:pPr>
        <w:pStyle w:val="Bibliography"/>
      </w:pPr>
      <w:r>
        <w:t xml:space="preserve">Frick, H., Chow, F., Kuhn, M., Mahoney, M., Silge, J., Wickham, H., 2024.</w:t>
      </w:r>
      <w:r>
        <w:t xml:space="preserve"> </w:t>
      </w:r>
      <w:hyperlink r:id="rId265">
        <w:r>
          <w:rPr>
            <w:rStyle w:val="Hyperlink"/>
          </w:rPr>
          <w:t xml:space="preserve">Rsample: General resampling infrastructure</w:t>
        </w:r>
      </w:hyperlink>
      <w:r>
        <w:t xml:space="preserve">.</w:t>
      </w:r>
    </w:p>
    <w:bookmarkEnd w:id="266"/>
    <w:bookmarkStart w:id="267" w:name="ref-fyfe2003spatial"/>
    <w:p>
      <w:pPr>
        <w:pStyle w:val="Bibliography"/>
      </w:pPr>
      <w:r>
        <w:t xml:space="preserve">Fyfe, S., 2003. Spatial and temporal variation in spectral reflectance: Are seagrass species spectrally distinct? Limnology and Oceanography 48, 464–479.</w:t>
      </w:r>
    </w:p>
    <w:bookmarkEnd w:id="267"/>
    <w:bookmarkStart w:id="269"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268">
        <w:r>
          <w:rPr>
            <w:rStyle w:val="Hyperlink"/>
          </w:rPr>
          <w:t xml:space="preserve">https://doi.org/10.4319/lo.2003.48.1_part_2.0464</w:t>
        </w:r>
      </w:hyperlink>
    </w:p>
    <w:bookmarkEnd w:id="269"/>
    <w:bookmarkStart w:id="270" w:name="ref-Gardner2018"/>
    <w:p>
      <w:pPr>
        <w:pStyle w:val="Bibliography"/>
      </w:pPr>
      <w:r>
        <w:t xml:space="preserve">Gardner, R.C., Finlayson, C., 2018a. Global wetland outlook: State of the world’s wetlands and their services to people, in: Ramsar Convention Secretariat. pp. 2020–5.</w:t>
      </w:r>
    </w:p>
    <w:bookmarkEnd w:id="270"/>
    <w:bookmarkStart w:id="271" w:name="ref-gardner2018"/>
    <w:p>
      <w:pPr>
        <w:pStyle w:val="Bibliography"/>
      </w:pPr>
      <w:r>
        <w:t xml:space="preserve">Gardner, R.C., Finlayson, C., 2018b. Global wetland outlook: State of the world’s wetlands and their services to people. Stetson Law.</w:t>
      </w:r>
    </w:p>
    <w:bookmarkEnd w:id="271"/>
    <w:bookmarkStart w:id="273"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272">
        <w:r>
          <w:rPr>
            <w:rStyle w:val="Hyperlink"/>
          </w:rPr>
          <w:t xml:space="preserve">https://doi.org/10.1016/j.ecss.2021.107320</w:t>
        </w:r>
      </w:hyperlink>
    </w:p>
    <w:bookmarkEnd w:id="273"/>
    <w:bookmarkStart w:id="274"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274"/>
    <w:bookmarkStart w:id="275" w:name="ref-Green2021"/>
    <w:p>
      <w:pPr>
        <w:pStyle w:val="Bibliography"/>
      </w:pPr>
      <w:r>
        <w:t xml:space="preserve">Green, A.E., Unsworth, R.K., Chadwick, M.A., Jones, P.J., 2021. Historical analysis exposes catastrophic seagrass loss for the united kingdom. Frontiers in plant science 261.</w:t>
      </w:r>
    </w:p>
    <w:bookmarkEnd w:id="275"/>
    <w:bookmarkStart w:id="277" w:name="ref-R-vip"/>
    <w:p>
      <w:pPr>
        <w:pStyle w:val="Bibliography"/>
      </w:pPr>
      <w:r>
        <w:t xml:space="preserve">Greenwell, B.M., Boehmke, B., 2023.</w:t>
      </w:r>
      <w:r>
        <w:t xml:space="preserve"> </w:t>
      </w:r>
      <w:hyperlink r:id="rId276">
        <w:r>
          <w:rPr>
            <w:rStyle w:val="Hyperlink"/>
          </w:rPr>
          <w:t xml:space="preserve">Vip: Variable importance plots</w:t>
        </w:r>
      </w:hyperlink>
      <w:r>
        <w:t xml:space="preserve">.</w:t>
      </w:r>
    </w:p>
    <w:bookmarkEnd w:id="277"/>
    <w:bookmarkStart w:id="278" w:name="ref-Guyot1990"/>
    <w:p>
      <w:pPr>
        <w:pStyle w:val="Bibliography"/>
      </w:pPr>
      <w:r>
        <w:t xml:space="preserve">Guyot, G., 1990. Optical properties of vegetation canopies. Optical properties of vegetation canopies. 19–43.</w:t>
      </w:r>
    </w:p>
    <w:bookmarkEnd w:id="278"/>
    <w:bookmarkStart w:id="279"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279"/>
    <w:bookmarkStart w:id="280" w:name="ref-haro2023biointertidal"/>
    <w:p>
      <w:pPr>
        <w:pStyle w:val="Bibliography"/>
      </w:pPr>
      <w:r>
        <w:t xml:space="preserve">Haro, S., Jimenez-Reina, J., Bermejo, R., Morrison, L., 2023. BioIntertidal mapper software: A satellite approach for NDVI-based intertidal habitat mapping. SoftwareX 24, 101520.</w:t>
      </w:r>
    </w:p>
    <w:bookmarkEnd w:id="280"/>
    <w:bookmarkStart w:id="282"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281">
        <w:r>
          <w:rPr>
            <w:rStyle w:val="Hyperlink"/>
          </w:rPr>
          <w:t xml:space="preserve">https://doi.org/10.3390/app8122688</w:t>
        </w:r>
      </w:hyperlink>
    </w:p>
    <w:bookmarkEnd w:id="282"/>
    <w:bookmarkStart w:id="283"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283"/>
    <w:bookmarkStart w:id="285"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284">
        <w:r>
          <w:rPr>
            <w:rStyle w:val="Hyperlink"/>
          </w:rPr>
          <w:t xml:space="preserve">https://doi.org/10.1016/j.rse.2015.05.023</w:t>
        </w:r>
      </w:hyperlink>
    </w:p>
    <w:bookmarkEnd w:id="285"/>
    <w:bookmarkStart w:id="286"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286"/>
    <w:bookmarkStart w:id="288"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287">
        <w:r>
          <w:rPr>
            <w:rStyle w:val="Hyperlink"/>
          </w:rPr>
          <w:t xml:space="preserve">https://doi.org/10.1016/j.envpol.2021.117731</w:t>
        </w:r>
      </w:hyperlink>
    </w:p>
    <w:bookmarkEnd w:id="288"/>
    <w:bookmarkStart w:id="289" w:name="ref-howard2018fastai"/>
    <w:p>
      <w:pPr>
        <w:pStyle w:val="Bibliography"/>
      </w:pPr>
      <w:r>
        <w:t xml:space="preserve">Howard, J., others, 2018. Fastai.</w:t>
      </w:r>
    </w:p>
    <w:bookmarkEnd w:id="289"/>
    <w:bookmarkStart w:id="291"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290">
        <w:r>
          <w:rPr>
            <w:rStyle w:val="Hyperlink"/>
          </w:rPr>
          <w:t xml:space="preserve">https://doi.org/10.1016/j.rse.2017.01.037</w:t>
        </w:r>
      </w:hyperlink>
    </w:p>
    <w:bookmarkEnd w:id="291"/>
    <w:bookmarkStart w:id="292"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292"/>
    <w:bookmarkStart w:id="294"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293">
        <w:r>
          <w:rPr>
            <w:rStyle w:val="Hyperlink"/>
          </w:rPr>
          <w:t xml:space="preserve">https://doi.org/10.1177/0309133309339563</w:t>
        </w:r>
      </w:hyperlink>
    </w:p>
    <w:bookmarkEnd w:id="294"/>
    <w:bookmarkStart w:id="295" w:name="ref-joyce2023"/>
    <w:p>
      <w:pPr>
        <w:pStyle w:val="Bibliography"/>
      </w:pPr>
      <w:r>
        <w:t xml:space="preserve">Joyce, K.E., Fickas, K.C., Kalamandeen, M., 2023. The unique value proposition for using drones to map coastal ecosystems. Cambridge Prisms: Coastal Futures 1, e6.</w:t>
      </w:r>
    </w:p>
    <w:bookmarkEnd w:id="295"/>
    <w:bookmarkStart w:id="296" w:name="ref-Kirk1994"/>
    <w:p>
      <w:pPr>
        <w:pStyle w:val="Bibliography"/>
      </w:pPr>
      <w:r>
        <w:t xml:space="preserve">Kirk, J.T., 1994a. Light and photosynthesis in aquatic ecosystems. Cambridge university press.</w:t>
      </w:r>
    </w:p>
    <w:bookmarkEnd w:id="296"/>
    <w:bookmarkStart w:id="297" w:name="ref-kirk1994light"/>
    <w:p>
      <w:pPr>
        <w:pStyle w:val="Bibliography"/>
      </w:pPr>
      <w:r>
        <w:t xml:space="preserve">Kirk, J.T., 1994b. Light and photosynthesis in aquatic ecosystems. Cambridge university press.</w:t>
      </w:r>
    </w:p>
    <w:bookmarkEnd w:id="297"/>
    <w:bookmarkStart w:id="298" w:name="ref-klemas2012remote"/>
    <w:p>
      <w:pPr>
        <w:pStyle w:val="Bibliography"/>
      </w:pPr>
      <w:r>
        <w:t xml:space="preserve">Klemas, V., 2012. Remote sensing of algal blooms: An overview with case studies. Journal of coastal research 28, 34–43.</w:t>
      </w:r>
    </w:p>
    <w:bookmarkEnd w:id="298"/>
    <w:bookmarkStart w:id="300"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299">
        <w:r>
          <w:rPr>
            <w:rStyle w:val="Hyperlink"/>
          </w:rPr>
          <w:t xml:space="preserve">https://doi.org/10.1063/1.44433</w:t>
        </w:r>
      </w:hyperlink>
    </w:p>
    <w:bookmarkEnd w:id="300"/>
    <w:bookmarkStart w:id="302" w:name="ref-R-yardstick"/>
    <w:p>
      <w:pPr>
        <w:pStyle w:val="Bibliography"/>
      </w:pPr>
      <w:r>
        <w:t xml:space="preserve">Kuhn, M., Vaughan, D., Hvitfeldt, E., 2024.</w:t>
      </w:r>
      <w:r>
        <w:t xml:space="preserve"> </w:t>
      </w:r>
      <w:hyperlink r:id="rId301">
        <w:r>
          <w:rPr>
            <w:rStyle w:val="Hyperlink"/>
          </w:rPr>
          <w:t xml:space="preserve">Yardstick: Tidy characterizations of model performance</w:t>
        </w:r>
      </w:hyperlink>
      <w:r>
        <w:t xml:space="preserve">.</w:t>
      </w:r>
    </w:p>
    <w:bookmarkEnd w:id="302"/>
    <w:bookmarkStart w:id="304" w:name="ref-tidymodels2020"/>
    <w:p>
      <w:pPr>
        <w:pStyle w:val="Bibliography"/>
      </w:pPr>
      <w:r>
        <w:t xml:space="preserve">Kuhn, M., Wickham, H., 2020.</w:t>
      </w:r>
      <w:r>
        <w:t xml:space="preserve"> </w:t>
      </w:r>
      <w:hyperlink r:id="rId303">
        <w:r>
          <w:rPr>
            <w:rStyle w:val="Hyperlink"/>
          </w:rPr>
          <w:t xml:space="preserve">Tidymodels: A collection of packages for modeling and machine learning using tidyverse principles.</w:t>
        </w:r>
      </w:hyperlink>
    </w:p>
    <w:bookmarkEnd w:id="304"/>
    <w:bookmarkStart w:id="306"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05">
        <w:r>
          <w:rPr>
            <w:rStyle w:val="Hyperlink"/>
          </w:rPr>
          <w:t xml:space="preserve">https://doi.org/10.1016/j.ecss.2005.12.004</w:t>
        </w:r>
      </w:hyperlink>
    </w:p>
    <w:bookmarkEnd w:id="306"/>
    <w:bookmarkStart w:id="307"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07"/>
    <w:bookmarkStart w:id="308"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08"/>
    <w:bookmarkStart w:id="309"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09"/>
    <w:bookmarkStart w:id="31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10"/>
    <w:bookmarkStart w:id="311"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11"/>
    <w:bookmarkStart w:id="312"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12"/>
    <w:bookmarkStart w:id="313"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313"/>
    <w:bookmarkStart w:id="314" w:name="ref-louime2017sargassum"/>
    <w:p>
      <w:pPr>
        <w:pStyle w:val="Bibliography"/>
      </w:pPr>
      <w:r>
        <w:t xml:space="preserve">Louime, C., Fortune, J., Gervais, G., 2017. Sargassum invasion of coastal environments: A growing concern. American Journal of Environmental Sciences 13, 58–64.</w:t>
      </w:r>
    </w:p>
    <w:bookmarkEnd w:id="314"/>
    <w:bookmarkStart w:id="315"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315"/>
    <w:bookmarkStart w:id="316"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316"/>
    <w:bookmarkStart w:id="317"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317"/>
    <w:bookmarkStart w:id="319"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318">
        <w:r>
          <w:rPr>
            <w:rStyle w:val="Hyperlink"/>
          </w:rPr>
          <w:t xml:space="preserve">https://doi.org/10.3390/rs11060704</w:t>
        </w:r>
      </w:hyperlink>
    </w:p>
    <w:bookmarkEnd w:id="319"/>
    <w:bookmarkStart w:id="320" w:name="ref-McKenzie2020"/>
    <w:p>
      <w:pPr>
        <w:pStyle w:val="Bibliography"/>
      </w:pPr>
      <w:r>
        <w:t xml:space="preserve">McKenzie, L.J., Nordlund, L.M., Jones, B.L., Cullen-Unsworth, L.C., Roelfsema, C., Unsworth, R.K.F., 2020.</w:t>
      </w:r>
      <w:r>
        <w:t xml:space="preserve"> </w:t>
      </w:r>
      <w:r>
        <w:t xml:space="preserve">The global distribution of seagrass meadows</w:t>
      </w:r>
      <w:r>
        <w:t xml:space="preserve">. Environmental Research Letters 15.</w:t>
      </w:r>
    </w:p>
    <w:bookmarkEnd w:id="320"/>
    <w:bookmarkStart w:id="322"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321">
        <w:r>
          <w:rPr>
            <w:rStyle w:val="Hyperlink"/>
          </w:rPr>
          <w:t xml:space="preserve">https://doi.org/10.1016/j.jphotobiol.2013.10.005</w:t>
        </w:r>
      </w:hyperlink>
    </w:p>
    <w:bookmarkEnd w:id="322"/>
    <w:bookmarkStart w:id="323"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323"/>
    <w:bookmarkStart w:id="324"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324"/>
    <w:bookmarkStart w:id="326"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325">
        <w:r>
          <w:rPr>
            <w:rStyle w:val="Hyperlink"/>
          </w:rPr>
          <w:t xml:space="preserve">https://doi.org/10.1111/GCB.14108</w:t>
        </w:r>
      </w:hyperlink>
    </w:p>
    <w:bookmarkEnd w:id="326"/>
    <w:bookmarkStart w:id="328"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327">
        <w:r>
          <w:rPr>
            <w:rStyle w:val="Hyperlink"/>
          </w:rPr>
          <w:t xml:space="preserve">https://doi.org/10.1038/s41598-021-83597-z</w:t>
        </w:r>
      </w:hyperlink>
    </w:p>
    <w:bookmarkEnd w:id="328"/>
    <w:bookmarkStart w:id="330"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329">
        <w:r>
          <w:rPr>
            <w:rStyle w:val="Hyperlink"/>
          </w:rPr>
          <w:t xml:space="preserve">https://doi.org/10.1017/s0031182002001476</w:t>
        </w:r>
      </w:hyperlink>
    </w:p>
    <w:bookmarkEnd w:id="330"/>
    <w:bookmarkStart w:id="332"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331">
        <w:r>
          <w:rPr>
            <w:rStyle w:val="Hyperlink"/>
          </w:rPr>
          <w:t xml:space="preserve">https://doi.org/10.1002/eap.1682</w:t>
        </w:r>
      </w:hyperlink>
    </w:p>
    <w:bookmarkEnd w:id="332"/>
    <w:bookmarkStart w:id="333"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333"/>
    <w:bookmarkStart w:id="335"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334">
        <w:r>
          <w:rPr>
            <w:rStyle w:val="Hyperlink"/>
          </w:rPr>
          <w:t xml:space="preserve">https://doi.org/10.1038/s41586-018-0805-8</w:t>
        </w:r>
      </w:hyperlink>
    </w:p>
    <w:bookmarkEnd w:id="335"/>
    <w:bookmarkStart w:id="336"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336"/>
    <w:bookmarkStart w:id="337" w:name="ref-nguyen2021"/>
    <w:p>
      <w:pPr>
        <w:pStyle w:val="Bibliography"/>
      </w:pPr>
      <w:r>
        <w:t xml:space="preserve">Nguyen, H.M., Ralph, P.J., Marı́n-Guirao, L., Pernice, M., Procaccini, G., 2021. Seagrasses in an era of ocean warming: A review. Biological Reviews 96, 2009–2030.</w:t>
      </w:r>
    </w:p>
    <w:bookmarkEnd w:id="337"/>
    <w:bookmarkStart w:id="339"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338">
        <w:r>
          <w:rPr>
            <w:rStyle w:val="Hyperlink"/>
          </w:rPr>
          <w:t xml:space="preserve">https://doi.org/10.1016/j.rse.2018.10.032</w:t>
        </w:r>
      </w:hyperlink>
    </w:p>
    <w:bookmarkEnd w:id="339"/>
    <w:bookmarkStart w:id="340"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340"/>
    <w:bookmarkStart w:id="341"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341"/>
    <w:bookmarkStart w:id="342" w:name="ref-oh2017use"/>
    <w:p>
      <w:pPr>
        <w:pStyle w:val="Bibliography"/>
      </w:pPr>
      <w:r>
        <w:t xml:space="preserve">Oh, J., Kim, D., Lee, H., 2017. Use of a drone for mapping and time series image acquisition of tidal zones. Journal of the Korean Institute of Intelligent Systems 27, 119–125.</w:t>
      </w:r>
    </w:p>
    <w:bookmarkEnd w:id="342"/>
    <w:bookmarkStart w:id="344" w:name="ref-Oiry2021"/>
    <w:p>
      <w:pPr>
        <w:pStyle w:val="Bibliography"/>
      </w:pPr>
      <w:r>
        <w:t xml:space="preserve">Oiry, S., Barillé, L., 2021a.</w:t>
      </w:r>
      <w:r>
        <w:t xml:space="preserve"> </w:t>
      </w:r>
      <w:r>
        <w:t xml:space="preserve">Using sentinel-2 satellite imagery to develop microphytobenthos-based water quality indices in estuaries</w:t>
      </w:r>
      <w:r>
        <w:t xml:space="preserve">. Ecological Indicators 121.</w:t>
      </w:r>
      <w:r>
        <w:t xml:space="preserve"> </w:t>
      </w:r>
      <w:hyperlink r:id="rId343">
        <w:r>
          <w:rPr>
            <w:rStyle w:val="Hyperlink"/>
          </w:rPr>
          <w:t xml:space="preserve">https://doi.org/10.1016/j.ecolind.2020.107184</w:t>
        </w:r>
      </w:hyperlink>
    </w:p>
    <w:bookmarkEnd w:id="344"/>
    <w:bookmarkStart w:id="345" w:name="ref-oiry2021using"/>
    <w:p>
      <w:pPr>
        <w:pStyle w:val="Bibliography"/>
      </w:pPr>
      <w:r>
        <w:t xml:space="preserve">Oiry, S., Barillé, L., 2021b. Using sentinel-2 satellite imagery to develop microphytobenthos-based water quality indices in estuaries. Ecological Indicators 121, 107184.</w:t>
      </w:r>
    </w:p>
    <w:bookmarkEnd w:id="345"/>
    <w:bookmarkStart w:id="347"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346">
        <w:r>
          <w:rPr>
            <w:rStyle w:val="Hyperlink"/>
          </w:rPr>
          <w:t xml:space="preserve">Vegan: Community ecology package</w:t>
        </w:r>
      </w:hyperlink>
      <w:r>
        <w:t xml:space="preserve">.</w:t>
      </w:r>
    </w:p>
    <w:bookmarkEnd w:id="347"/>
    <w:bookmarkStart w:id="349"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348">
        <w:r>
          <w:rPr>
            <w:rStyle w:val="Hyperlink"/>
          </w:rPr>
          <w:t xml:space="preserve">https://doi.org/10.3390/rs12233870</w:t>
        </w:r>
      </w:hyperlink>
    </w:p>
    <w:bookmarkEnd w:id="349"/>
    <w:bookmarkStart w:id="35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350"/>
    <w:bookmarkStart w:id="35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351"/>
    <w:bookmarkStart w:id="353"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352">
        <w:r>
          <w:rPr>
            <w:rStyle w:val="Hyperlink"/>
          </w:rPr>
          <w:t xml:space="preserve">https://doi.org/10.5281/zenodo.3463051</w:t>
        </w:r>
      </w:hyperlink>
    </w:p>
    <w:bookmarkEnd w:id="353"/>
    <w:bookmarkStart w:id="354"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354"/>
    <w:bookmarkStart w:id="355"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355"/>
    <w:bookmarkStart w:id="356" w:name="ref-Pereira2013"/>
    <w:p>
      <w:pPr>
        <w:pStyle w:val="Bibliography"/>
      </w:pPr>
      <w:r>
        <w:t xml:space="preserve">Pereira, H.M., Ferrier, S., Walters, M., Geller, G.N., Jongman, R.H., Scholes, R.J., Bruford, M.W., Brummitt, N., Butchart, S.H., Cardoso, A., others, 2013. Essential biodiversity variables. Science 339, 277–278.</w:t>
      </w:r>
    </w:p>
    <w:bookmarkEnd w:id="356"/>
    <w:bookmarkStart w:id="357"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357"/>
    <w:bookmarkStart w:id="358"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358"/>
    <w:bookmarkStart w:id="359"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359"/>
    <w:bookmarkStart w:id="361" w:name="ref-R-base"/>
    <w:p>
      <w:pPr>
        <w:pStyle w:val="Bibliography"/>
      </w:pPr>
      <w:r>
        <w:t xml:space="preserve">R Core Team, 2023.</w:t>
      </w:r>
      <w:r>
        <w:t xml:space="preserve"> </w:t>
      </w:r>
      <w:hyperlink r:id="rId360">
        <w:r>
          <w:rPr>
            <w:rStyle w:val="Hyperlink"/>
          </w:rPr>
          <w:t xml:space="preserve">R: A language and environment for statistical computing</w:t>
        </w:r>
      </w:hyperlink>
      <w:r>
        <w:t xml:space="preserve">. R Foundation for Statistical Computing, Vienna, Austria.</w:t>
      </w:r>
    </w:p>
    <w:bookmarkEnd w:id="361"/>
    <w:bookmarkStart w:id="36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362"/>
    <w:bookmarkStart w:id="363" w:name="ref-rasheed2011long"/>
    <w:p>
      <w:pPr>
        <w:pStyle w:val="Bibliography"/>
      </w:pPr>
      <w:r>
        <w:t xml:space="preserve">Rasheed, M.A., Unsworth, R.K., 2011. Long-term climate-associated dynamics of a tropical seagrass meadow: Implications for the future. Marine Ecology Progress Series 422, 93–103.</w:t>
      </w:r>
    </w:p>
    <w:bookmarkEnd w:id="363"/>
    <w:bookmarkStart w:id="364"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364"/>
    <w:bookmarkStart w:id="365"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365"/>
    <w:bookmarkStart w:id="366"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366"/>
    <w:bookmarkStart w:id="368"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367">
        <w:r>
          <w:rPr>
            <w:rStyle w:val="Hyperlink"/>
          </w:rPr>
          <w:t xml:space="preserve">https://doi.org/10.3389/fmars.2022.1004012</w:t>
        </w:r>
      </w:hyperlink>
    </w:p>
    <w:bookmarkEnd w:id="368"/>
    <w:bookmarkStart w:id="369" w:name="ref-Roman2021"/>
    <w:p>
      <w:pPr>
        <w:pStyle w:val="Bibliography"/>
      </w:pPr>
      <w:r>
        <w:t xml:space="preserve">Román, A., Tovar-Sánchez, A., Olivé, I., Navarro, G., 2021. Using a UAV-mounted multispectral camera for the monitoring of marine macrophytes. Frontiers in Marine Science 1225.</w:t>
      </w:r>
    </w:p>
    <w:bookmarkEnd w:id="369"/>
    <w:bookmarkStart w:id="370" w:name="ref-rossiter2020uav"/>
    <w:p>
      <w:pPr>
        <w:pStyle w:val="Bibliography"/>
      </w:pPr>
      <w:r>
        <w:t xml:space="preserve">Rossiter, T., Furey, T., McCarthy, T., Stengel, D.B., 2020. UAV-mounted hyperspectral mapping of intertidal macroalgae. Estuarine, Coastal and Shelf Science 242, 106789.</w:t>
      </w:r>
    </w:p>
    <w:bookmarkEnd w:id="370"/>
    <w:bookmarkStart w:id="371" w:name="ref-Sage2020"/>
    <w:p>
      <w:pPr>
        <w:pStyle w:val="Bibliography"/>
      </w:pPr>
      <w:r>
        <w:t xml:space="preserve">Sage, R.F., 2020. Global change biology: A primer. Global Change Biology 26, 3–30.</w:t>
      </w:r>
    </w:p>
    <w:bookmarkEnd w:id="371"/>
    <w:bookmarkStart w:id="372"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372"/>
    <w:bookmarkStart w:id="37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373">
        <w:r>
          <w:rPr>
            <w:rStyle w:val="Hyperlink"/>
          </w:rPr>
          <w:t xml:space="preserve">https://doi.org/10.1016/j.ecoser.2022.101414</w:t>
        </w:r>
      </w:hyperlink>
    </w:p>
    <w:bookmarkEnd w:id="374"/>
    <w:bookmarkStart w:id="376"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375">
        <w:r>
          <w:rPr>
            <w:rStyle w:val="Hyperlink"/>
          </w:rPr>
          <w:t xml:space="preserve">https://doi.org/10.3389/fevo.2021.767548</w:t>
        </w:r>
      </w:hyperlink>
    </w:p>
    <w:bookmarkEnd w:id="376"/>
    <w:bookmarkStart w:id="377" w:name="ref-Schmidt2003"/>
    <w:p>
      <w:pPr>
        <w:pStyle w:val="Bibliography"/>
      </w:pPr>
      <w:r>
        <w:t xml:space="preserve">Schmidt, K., Skidmore, A., 2003. Spectral discrimination of vegetation types in a coastal wetland. Remote sensing of Environment 85, 92–108.</w:t>
      </w:r>
    </w:p>
    <w:bookmarkEnd w:id="377"/>
    <w:bookmarkStart w:id="378" w:name="ref-schneider2012nih"/>
    <w:p>
      <w:pPr>
        <w:pStyle w:val="Bibliography"/>
      </w:pPr>
      <w:r>
        <w:t xml:space="preserve">Schneider, C.A., Rasband, W.S., Eliceiri, K.W., 2012. NIH image to ImageJ: 25 years of image analysis. Nature methods 9, 671–675.</w:t>
      </w:r>
    </w:p>
    <w:bookmarkEnd w:id="378"/>
    <w:bookmarkStart w:id="380"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379">
        <w:r>
          <w:rPr>
            <w:rStyle w:val="Hyperlink"/>
          </w:rPr>
          <w:t xml:space="preserve">https://doi.org/10.3390/rs13081408</w:t>
        </w:r>
      </w:hyperlink>
    </w:p>
    <w:bookmarkEnd w:id="380"/>
    <w:bookmarkStart w:id="382"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381">
        <w:r>
          <w:rPr>
            <w:rStyle w:val="Hyperlink"/>
          </w:rPr>
          <w:t xml:space="preserve">https://doi.org/10.1016/j.marenvres.2021.105475</w:t>
        </w:r>
      </w:hyperlink>
    </w:p>
    <w:bookmarkEnd w:id="382"/>
    <w:bookmarkStart w:id="383"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383"/>
    <w:bookmarkStart w:id="385" w:name="ref-Slaton2001"/>
    <w:p>
      <w:pPr>
        <w:pStyle w:val="Bibliography"/>
      </w:pPr>
      <w:r>
        <w:t xml:space="preserve">Slaton, M.R., Raymond Hunt Jr., E., Smith, W.K., 2001. Estimating near-infrared leaf reflectance from leaf structural characteristics. American Journal of Botany 88, 278–284. https://doi.org/</w:t>
      </w:r>
      <w:hyperlink r:id="rId384">
        <w:r>
          <w:rPr>
            <w:rStyle w:val="Hyperlink"/>
          </w:rPr>
          <w:t xml:space="preserve">https://doi.org/10.2307/2657019</w:t>
        </w:r>
      </w:hyperlink>
    </w:p>
    <w:bookmarkEnd w:id="385"/>
    <w:bookmarkStart w:id="386"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386"/>
    <w:bookmarkStart w:id="387"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387"/>
    <w:bookmarkStart w:id="388"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388"/>
    <w:bookmarkStart w:id="389"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389"/>
    <w:bookmarkStart w:id="39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390"/>
    <w:bookmarkStart w:id="391"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391"/>
    <w:bookmarkStart w:id="393" w:name="ref-Traganos2018"/>
    <w:p>
      <w:pPr>
        <w:pStyle w:val="Bibliography"/>
      </w:pPr>
      <w:r>
        <w:t xml:space="preserve">Traganos, D., Reinartz, P., 2018. Mapping mediterranean seagrasses with sentinel-2 imagery. Marine Pollution Bulletin 134, 197–209.</w:t>
      </w:r>
      <w:r>
        <w:t xml:space="preserve"> </w:t>
      </w:r>
      <w:hyperlink r:id="rId392">
        <w:r>
          <w:rPr>
            <w:rStyle w:val="Hyperlink"/>
          </w:rPr>
          <w:t xml:space="preserve">https://doi.org/10.1016/j.marpolbul.2017.06.075</w:t>
        </w:r>
      </w:hyperlink>
    </w:p>
    <w:bookmarkEnd w:id="393"/>
    <w:bookmarkStart w:id="394"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394"/>
    <w:bookmarkStart w:id="395"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395"/>
    <w:bookmarkStart w:id="396" w:name="ref-Unsworth2022"/>
    <w:p>
      <w:pPr>
        <w:pStyle w:val="Bibliography"/>
      </w:pPr>
      <w:r>
        <w:t xml:space="preserve">Unsworth, R.K., Cullen-Unsworth, L.C., Jones, B.L., Lilley, R.J., 2022a. The planetary role of seagrass conservation. Science 377, 609–613.</w:t>
      </w:r>
    </w:p>
    <w:bookmarkEnd w:id="396"/>
    <w:bookmarkStart w:id="397" w:name="ref-unsworth2022"/>
    <w:p>
      <w:pPr>
        <w:pStyle w:val="Bibliography"/>
      </w:pPr>
      <w:r>
        <w:t xml:space="preserve">Unsworth, R.K., Cullen-Unsworth, L.C., Jones, B.L., Lilley, R.J., 2022b. The planetary role of seagrass conservation. Science 377, 609–613.</w:t>
      </w:r>
    </w:p>
    <w:bookmarkEnd w:id="397"/>
    <w:bookmarkStart w:id="399"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398">
        <w:r>
          <w:rPr>
            <w:rStyle w:val="Hyperlink"/>
          </w:rPr>
          <w:t xml:space="preserve">https://doi.org/10.1007/s13280-018-1115-y</w:t>
        </w:r>
      </w:hyperlink>
    </w:p>
    <w:bookmarkEnd w:id="399"/>
    <w:bookmarkStart w:id="401"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400">
        <w:r>
          <w:rPr>
            <w:rStyle w:val="Hyperlink"/>
          </w:rPr>
          <w:t xml:space="preserve">https://doi.org/10.1111/conl.12566</w:t>
        </w:r>
      </w:hyperlink>
    </w:p>
    <w:bookmarkEnd w:id="401"/>
    <w:bookmarkStart w:id="402"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402"/>
    <w:bookmarkStart w:id="404"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403">
        <w:r>
          <w:rPr>
            <w:rStyle w:val="Hyperlink"/>
          </w:rPr>
          <w:t xml:space="preserve">https://doi.org/10.1641/0006-3568(2004)054[0523:UISTSE]2.0.CO;2</w:t>
        </w:r>
      </w:hyperlink>
    </w:p>
    <w:bookmarkEnd w:id="404"/>
    <w:bookmarkStart w:id="406"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405">
        <w:r>
          <w:rPr>
            <w:rStyle w:val="Hyperlink"/>
          </w:rPr>
          <w:t xml:space="preserve">https://doi.org/10.1127/0340-269X/2003/0033-0187</w:t>
        </w:r>
      </w:hyperlink>
    </w:p>
    <w:bookmarkEnd w:id="406"/>
    <w:bookmarkStart w:id="407"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407"/>
    <w:bookmarkStart w:id="408"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408"/>
    <w:bookmarkStart w:id="409"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409"/>
    <w:bookmarkStart w:id="410"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410"/>
    <w:bookmarkStart w:id="411" w:name="ref-wang2022"/>
    <w:p>
      <w:pPr>
        <w:pStyle w:val="Bibliography"/>
      </w:pPr>
      <w:r>
        <w:t xml:space="preserve">Wang, Z., Fang, Z., Liang, J., Song, X., 2022. Assessment of global habitat suitability and risk of ocean green tides. Harmful Algae 119, 102324.</w:t>
      </w:r>
    </w:p>
    <w:bookmarkEnd w:id="411"/>
    <w:bookmarkStart w:id="413" w:name="ref-WEI2015399"/>
    <w:p>
      <w:pPr>
        <w:pStyle w:val="Bibliography"/>
      </w:pPr>
      <w:r>
        <w:t xml:space="preserve">Wei, P., Lu, Z., Song, J., 2015. Variable importance analysis: A comprehensive review. Reliability Engineering and System Safety 142, 399–432. https://doi.org/</w:t>
      </w:r>
      <w:hyperlink r:id="rId412">
        <w:r>
          <w:rPr>
            <w:rStyle w:val="Hyperlink"/>
          </w:rPr>
          <w:t xml:space="preserve">https://doi.org/10.1016/j.ress.2015.05.018</w:t>
        </w:r>
      </w:hyperlink>
    </w:p>
    <w:bookmarkEnd w:id="413"/>
    <w:bookmarkStart w:id="415" w:name="ref-R-ranger"/>
    <w:p>
      <w:pPr>
        <w:pStyle w:val="Bibliography"/>
      </w:pPr>
      <w:r>
        <w:t xml:space="preserve">Wright, M.N., 2024.</w:t>
      </w:r>
      <w:r>
        <w:t xml:space="preserve"> </w:t>
      </w:r>
      <w:hyperlink r:id="rId414">
        <w:r>
          <w:rPr>
            <w:rStyle w:val="Hyperlink"/>
          </w:rPr>
          <w:t xml:space="preserve">Ranger: A fast implementation of random forests</w:t>
        </w:r>
      </w:hyperlink>
      <w:r>
        <w:t xml:space="preserve">.</w:t>
      </w:r>
    </w:p>
    <w:bookmarkEnd w:id="415"/>
    <w:bookmarkStart w:id="41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416"/>
    <w:bookmarkStart w:id="418"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417">
        <w:r>
          <w:rPr>
            <w:rStyle w:val="Hyperlink"/>
          </w:rPr>
          <w:t xml:space="preserve">https://doi.org/10.1155/2017/1353691</w:t>
        </w:r>
      </w:hyperlink>
    </w:p>
    <w:bookmarkEnd w:id="418"/>
    <w:bookmarkStart w:id="419"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419"/>
    <w:bookmarkStart w:id="420" w:name="ref-zhu2021deep"/>
    <w:p>
      <w:pPr>
        <w:pStyle w:val="Bibliography"/>
      </w:pPr>
      <w:r>
        <w:t xml:space="preserve">Zhu, Y., Huang, R., Wu, Z., Song, S., Cheng, L., Zhu, R., 2021. Deep learning-based predictive identification of neural stem cell differentiation. Nature communications 12, 2614.</w:t>
      </w:r>
    </w:p>
    <w:bookmarkEnd w:id="420"/>
    <w:bookmarkStart w:id="422"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421">
        <w:r>
          <w:rPr>
            <w:rStyle w:val="Hyperlink"/>
          </w:rPr>
          <w:t xml:space="preserve">https://doi.org/10.1016/j.ecolind.2021.108033</w:t>
        </w:r>
      </w:hyperlink>
    </w:p>
    <w:bookmarkEnd w:id="422"/>
    <w:bookmarkStart w:id="423"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423"/>
    <w:bookmarkStart w:id="425" w:name="ref-ZOFFOLI2020112020"/>
    <w:p>
      <w:pPr>
        <w:pStyle w:val="Bibliography"/>
      </w:pPr>
      <w:r>
        <w:t xml:space="preserve">Zoffoli, M.L., Gernez, P., Rosa, P., Le Bris, A., Brando, V.E., Barillé, Anne-Laure, Harin, N., Peters, S., Poser, K., Spaias, L., Peralta, G., Barillé, L., 2020a. Sentinel-2 remote sensing of zostera noltei-dominated intertidal seagrass meadows. Remote Sensing of Environment 251, 112020. https://doi.org/</w:t>
      </w:r>
      <w:hyperlink r:id="rId424">
        <w:r>
          <w:rPr>
            <w:rStyle w:val="Hyperlink"/>
          </w:rPr>
          <w:t xml:space="preserve">https://doi.org/10.1016/j.rse.2020.112020</w:t>
        </w:r>
      </w:hyperlink>
    </w:p>
    <w:bookmarkEnd w:id="425"/>
    <w:bookmarkStart w:id="426" w:name="ref-Zoffoli2020"/>
    <w:p>
      <w:pPr>
        <w:pStyle w:val="Bibliography"/>
      </w:pPr>
      <w:r>
        <w:t xml:space="preserve">Zoffoli, M.L., Gernez, P., Rosa, P., Le Bris, A., Brando, V.E., Barillé, Anne Laure, Harin, N., Peters, S., Poser, K., Spaias, L., Peralta, G., Barillé, L., 2020b.</w:t>
      </w:r>
      <w:r>
        <w:t xml:space="preserve"> </w:t>
      </w:r>
      <w:r>
        <w:t xml:space="preserve">Sentinel-2 remote sensing of Zostera noltei-dominated intertidal seagrass meadows</w:t>
      </w:r>
      <w:r>
        <w:t xml:space="preserve">. Remote Sensing of Environment 251, 112020.</w:t>
      </w:r>
      <w:r>
        <w:t xml:space="preserve"> </w:t>
      </w:r>
      <w:hyperlink r:id="rId424">
        <w:r>
          <w:rPr>
            <w:rStyle w:val="Hyperlink"/>
          </w:rPr>
          <w:t xml:space="preserve">https://doi.org/10.1016/j.rse.2020.112020</w:t>
        </w:r>
      </w:hyperlink>
    </w:p>
    <w:bookmarkEnd w:id="426"/>
    <w:bookmarkEnd w:id="427"/>
    <w:bookmarkEnd w:id="42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6" Target="media/rId36.jpg" /><Relationship Type="http://schemas.openxmlformats.org/officeDocument/2006/relationships/image" Id="rId40" Target="media/rId40.jpg" /><Relationship Type="http://schemas.openxmlformats.org/officeDocument/2006/relationships/image" Id="rId45" Target="media/rId45.jpg" /><Relationship Type="http://schemas.openxmlformats.org/officeDocument/2006/relationships/image" Id="rId54" Target="media/rId54.jpg" /><Relationship Type="http://schemas.openxmlformats.org/officeDocument/2006/relationships/image" Id="rId59" Target="media/rId59.jpg" /><Relationship Type="http://schemas.openxmlformats.org/officeDocument/2006/relationships/image" Id="rId64" Target="media/rId64.jpg"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81" Target="media/rId81.jpg" /><Relationship Type="http://schemas.openxmlformats.org/officeDocument/2006/relationships/image" Id="rId32" Target="media/rId32.png" /><Relationship Type="http://schemas.openxmlformats.org/officeDocument/2006/relationships/image" Id="rId68" Target="media/rId68.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09" Target="media/rId109.png" /><Relationship Type="http://schemas.openxmlformats.org/officeDocument/2006/relationships/image" Id="rId116" Target="media/rId116.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04" Target="media/rId104.png" /><Relationship Type="http://schemas.openxmlformats.org/officeDocument/2006/relationships/image" Id="rId120" Target="media/rId120.png" /><Relationship Type="http://schemas.openxmlformats.org/officeDocument/2006/relationships/hyperlink" Id="rId198" Target="http://prisma.asi.it/missionselect/docs/PRISMA%20Product%20Specifications_Is2_3.pdf" TargetMode="External" /><Relationship Type="http://schemas.openxmlformats.org/officeDocument/2006/relationships/hyperlink" Id="rId331"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6" Target="https://doi.org/10.1007/s00227-012-1987-5" TargetMode="External" /><Relationship Type="http://schemas.openxmlformats.org/officeDocument/2006/relationships/hyperlink" Id="rId211" Target="https://doi.org/10.1007/s003380050055" TargetMode="External" /><Relationship Type="http://schemas.openxmlformats.org/officeDocument/2006/relationships/hyperlink" Id="rId213" Target="https://doi.org/10.1007/s12237-021-00949-8" TargetMode="External" /><Relationship Type="http://schemas.openxmlformats.org/officeDocument/2006/relationships/hyperlink" Id="rId398" Target="https://doi.org/10.1007/s13280-018-1115-y" TargetMode="External" /><Relationship Type="http://schemas.openxmlformats.org/officeDocument/2006/relationships/hyperlink" Id="rId229" Target="https://doi.org/10.1016/j.algal.2017.04.021" TargetMode="External" /><Relationship Type="http://schemas.openxmlformats.org/officeDocument/2006/relationships/hyperlink" Id="rId208" Target="https://doi.org/10.1016/j.aquabot.2009.11.006" TargetMode="External" /><Relationship Type="http://schemas.openxmlformats.org/officeDocument/2006/relationships/hyperlink" Id="rId224" Target="https://doi.org/10.1016/j.csr.2013.01.010" TargetMode="External" /><Relationship Type="http://schemas.openxmlformats.org/officeDocument/2006/relationships/hyperlink" Id="rId237" Target="https://doi.org/10.1016/j.ecolind.2020.107018" TargetMode="External" /><Relationship Type="http://schemas.openxmlformats.org/officeDocument/2006/relationships/hyperlink" Id="rId343" Target="https://doi.org/10.1016/j.ecolind.2020.107184" TargetMode="External" /><Relationship Type="http://schemas.openxmlformats.org/officeDocument/2006/relationships/hyperlink" Id="rId421" Target="https://doi.org/10.1016/j.ecolind.2021.108033" TargetMode="External" /><Relationship Type="http://schemas.openxmlformats.org/officeDocument/2006/relationships/hyperlink" Id="rId373" Target="https://doi.org/10.1016/j.ecoser.2022.101414" TargetMode="External" /><Relationship Type="http://schemas.openxmlformats.org/officeDocument/2006/relationships/hyperlink" Id="rId305" Target="https://doi.org/10.1016/j.ecss.2005.12.004" TargetMode="External" /><Relationship Type="http://schemas.openxmlformats.org/officeDocument/2006/relationships/hyperlink" Id="rId272" Target="https://doi.org/10.1016/j.ecss.2021.107320" TargetMode="External" /><Relationship Type="http://schemas.openxmlformats.org/officeDocument/2006/relationships/hyperlink" Id="rId287" Target="https://doi.org/10.1016/j.envpol.2021.117731" TargetMode="External" /><Relationship Type="http://schemas.openxmlformats.org/officeDocument/2006/relationships/hyperlink" Id="rId203" Target="https://doi.org/10.1016/j.jembe.2013.04.012" TargetMode="External" /><Relationship Type="http://schemas.openxmlformats.org/officeDocument/2006/relationships/hyperlink" Id="rId321" Target="https://doi.org/10.1016/j.jphotobiol.2013.10.005" TargetMode="External" /><Relationship Type="http://schemas.openxmlformats.org/officeDocument/2006/relationships/hyperlink" Id="rId381" Target="https://doi.org/10.1016/j.marenvres.2021.105475" TargetMode="External" /><Relationship Type="http://schemas.openxmlformats.org/officeDocument/2006/relationships/hyperlink" Id="rId392" Target="https://doi.org/10.1016/j.marpolbul.2017.06.075" TargetMode="External" /><Relationship Type="http://schemas.openxmlformats.org/officeDocument/2006/relationships/hyperlink" Id="rId412" Target="https://doi.org/10.1016/j.ress.2015.05.018" TargetMode="External" /><Relationship Type="http://schemas.openxmlformats.org/officeDocument/2006/relationships/hyperlink" Id="rId206" Target="https://doi.org/10.1016/j.rse.2010.12.008" TargetMode="External" /><Relationship Type="http://schemas.openxmlformats.org/officeDocument/2006/relationships/hyperlink" Id="rId251" Target="https://doi.org/10.1016/j.rse.2015.01.027" TargetMode="External" /><Relationship Type="http://schemas.openxmlformats.org/officeDocument/2006/relationships/hyperlink" Id="rId284" Target="https://doi.org/10.1016/j.rse.2015.05.023" TargetMode="External" /><Relationship Type="http://schemas.openxmlformats.org/officeDocument/2006/relationships/hyperlink" Id="rId290" Target="https://doi.org/10.1016/j.rse.2017.01.037" TargetMode="External" /><Relationship Type="http://schemas.openxmlformats.org/officeDocument/2006/relationships/hyperlink" Id="rId338" Target="https://doi.org/10.1016/j.rse.2018.10.032" TargetMode="External" /><Relationship Type="http://schemas.openxmlformats.org/officeDocument/2006/relationships/hyperlink" Id="rId424" Target="https://doi.org/10.1016/j.rse.2020.112020" TargetMode="External" /><Relationship Type="http://schemas.openxmlformats.org/officeDocument/2006/relationships/hyperlink" Id="rId242" Target="https://doi.org/10.1016/j.rse.2023.113554" TargetMode="External" /><Relationship Type="http://schemas.openxmlformats.org/officeDocument/2006/relationships/hyperlink" Id="rId329" Target="https://doi.org/10.1017/s0031182002001476" TargetMode="External" /><Relationship Type="http://schemas.openxmlformats.org/officeDocument/2006/relationships/hyperlink" Id="rId334" Target="https://doi.org/10.1038/s41586-018-0805-8" TargetMode="External" /><Relationship Type="http://schemas.openxmlformats.org/officeDocument/2006/relationships/hyperlink" Id="rId327" Target="https://doi.org/10.1038/s41598-021-83597-z" TargetMode="External" /><Relationship Type="http://schemas.openxmlformats.org/officeDocument/2006/relationships/hyperlink" Id="rId299" Target="https://doi.org/10.1063/1.44433" TargetMode="External" /><Relationship Type="http://schemas.openxmlformats.org/officeDocument/2006/relationships/hyperlink" Id="rId325" Target="https://doi.org/10.1111/GCB.14108" TargetMode="External" /><Relationship Type="http://schemas.openxmlformats.org/officeDocument/2006/relationships/hyperlink" Id="rId400" Target="https://doi.org/10.1111/conl.12566" TargetMode="External" /><Relationship Type="http://schemas.openxmlformats.org/officeDocument/2006/relationships/hyperlink" Id="rId405" Target="https://doi.org/10.1127/0340-269X/2003/0033-0187" TargetMode="External" /><Relationship Type="http://schemas.openxmlformats.org/officeDocument/2006/relationships/hyperlink" Id="rId220" Target="https://doi.org/10.1139/cjfas-2016-0137" TargetMode="External" /><Relationship Type="http://schemas.openxmlformats.org/officeDocument/2006/relationships/hyperlink" Id="rId417" Target="https://doi.org/10.1155/2017/1353691" TargetMode="External" /><Relationship Type="http://schemas.openxmlformats.org/officeDocument/2006/relationships/hyperlink" Id="rId293" Target="https://doi.org/10.1177/0309133309339563" TargetMode="External" /><Relationship Type="http://schemas.openxmlformats.org/officeDocument/2006/relationships/hyperlink" Id="rId247" Target="https://doi.org/10.15468/n4ak6x" TargetMode="External" /><Relationship Type="http://schemas.openxmlformats.org/officeDocument/2006/relationships/hyperlink" Id="rId403" Target="https://doi.org/10.1641/0006-3568(2004)054[0523:UISTSE]2.0.CO;2" TargetMode="External" /><Relationship Type="http://schemas.openxmlformats.org/officeDocument/2006/relationships/hyperlink" Id="rId384" Target="https://doi.org/10.2307/2657019" TargetMode="External" /><Relationship Type="http://schemas.openxmlformats.org/officeDocument/2006/relationships/hyperlink" Id="rId375" Target="https://doi.org/10.3389/fevo.2021.767548" TargetMode="External" /><Relationship Type="http://schemas.openxmlformats.org/officeDocument/2006/relationships/hyperlink" Id="rId367" Target="https://doi.org/10.3389/fmars.2022.1004012" TargetMode="External" /><Relationship Type="http://schemas.openxmlformats.org/officeDocument/2006/relationships/hyperlink" Id="rId217" Target="https://doi.org/10.3390/RS14020307" TargetMode="External" /><Relationship Type="http://schemas.openxmlformats.org/officeDocument/2006/relationships/hyperlink" Id="rId281" Target="https://doi.org/10.3390/app8122688" TargetMode="External" /><Relationship Type="http://schemas.openxmlformats.org/officeDocument/2006/relationships/hyperlink" Id="rId318" Target="https://doi.org/10.3390/rs11060704" TargetMode="External" /><Relationship Type="http://schemas.openxmlformats.org/officeDocument/2006/relationships/hyperlink" Id="rId348" Target="https://doi.org/10.3390/rs12233870" TargetMode="External" /><Relationship Type="http://schemas.openxmlformats.org/officeDocument/2006/relationships/hyperlink" Id="rId379" Target="https://doi.org/10.3390/rs13081408" TargetMode="External" /><Relationship Type="http://schemas.openxmlformats.org/officeDocument/2006/relationships/hyperlink" Id="rId254" Target="https://doi.org/10.3390/rs14020346" TargetMode="External" /><Relationship Type="http://schemas.openxmlformats.org/officeDocument/2006/relationships/hyperlink" Id="rId268" Target="https://doi.org/10.4319/lo.2003.48.1_part_2.0464" TargetMode="External" /><Relationship Type="http://schemas.openxmlformats.org/officeDocument/2006/relationships/hyperlink" Id="rId352" Target="https://doi.org/10.5281/zenodo.3463051" TargetMode="External" /><Relationship Type="http://schemas.openxmlformats.org/officeDocument/2006/relationships/hyperlink" Id="rId276" Target="https://github.com/koalaverse/vip/" TargetMode="External" /><Relationship Type="http://schemas.openxmlformats.org/officeDocument/2006/relationships/hyperlink" Id="rId301" Target="https://github.com/tidymodels/yardstick" TargetMode="External" /><Relationship Type="http://schemas.openxmlformats.org/officeDocument/2006/relationships/hyperlink" Id="rId346" Target="https://github.com/vegandevs/vegan" TargetMode="External" /><Relationship Type="http://schemas.openxmlformats.org/officeDocument/2006/relationships/hyperlink" Id="rId414" Target="https://imbs-hl.github.io/ranger/" TargetMode="External" /><Relationship Type="http://schemas.openxmlformats.org/officeDocument/2006/relationships/hyperlink" Id="rId215" Target="https://ipbes.net/global-assessment%0Ahttps://ipbes.net/global-assessment-report-biodiversity-ecosystem-services" TargetMode="External" /><Relationship Type="http://schemas.openxmlformats.org/officeDocument/2006/relationships/hyperlink" Id="rId265" Target="https://rsample.tidymodels.org" TargetMode="External" /><Relationship Type="http://schemas.openxmlformats.org/officeDocument/2006/relationships/hyperlink" Id="rId360" Target="https://www.R-project.org/" TargetMode="External" /><Relationship Type="http://schemas.openxmlformats.org/officeDocument/2006/relationships/hyperlink" Id="rId195" Target="https://www.agisoft.com/" TargetMode="External" /><Relationship Type="http://schemas.openxmlformats.org/officeDocument/2006/relationships/hyperlink" Id="rId303"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98" Target="http://prisma.asi.it/missionselect/docs/PRISMA%20Product%20Specifications_Is2_3.pdf" TargetMode="External" /><Relationship Type="http://schemas.openxmlformats.org/officeDocument/2006/relationships/hyperlink" Id="rId331"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6" Target="https://doi.org/10.1007/s00227-012-1987-5" TargetMode="External" /><Relationship Type="http://schemas.openxmlformats.org/officeDocument/2006/relationships/hyperlink" Id="rId211" Target="https://doi.org/10.1007/s003380050055" TargetMode="External" /><Relationship Type="http://schemas.openxmlformats.org/officeDocument/2006/relationships/hyperlink" Id="rId213" Target="https://doi.org/10.1007/s12237-021-00949-8" TargetMode="External" /><Relationship Type="http://schemas.openxmlformats.org/officeDocument/2006/relationships/hyperlink" Id="rId398" Target="https://doi.org/10.1007/s13280-018-1115-y" TargetMode="External" /><Relationship Type="http://schemas.openxmlformats.org/officeDocument/2006/relationships/hyperlink" Id="rId229" Target="https://doi.org/10.1016/j.algal.2017.04.021" TargetMode="External" /><Relationship Type="http://schemas.openxmlformats.org/officeDocument/2006/relationships/hyperlink" Id="rId208" Target="https://doi.org/10.1016/j.aquabot.2009.11.006" TargetMode="External" /><Relationship Type="http://schemas.openxmlformats.org/officeDocument/2006/relationships/hyperlink" Id="rId224" Target="https://doi.org/10.1016/j.csr.2013.01.010" TargetMode="External" /><Relationship Type="http://schemas.openxmlformats.org/officeDocument/2006/relationships/hyperlink" Id="rId237" Target="https://doi.org/10.1016/j.ecolind.2020.107018" TargetMode="External" /><Relationship Type="http://schemas.openxmlformats.org/officeDocument/2006/relationships/hyperlink" Id="rId343" Target="https://doi.org/10.1016/j.ecolind.2020.107184" TargetMode="External" /><Relationship Type="http://schemas.openxmlformats.org/officeDocument/2006/relationships/hyperlink" Id="rId421" Target="https://doi.org/10.1016/j.ecolind.2021.108033" TargetMode="External" /><Relationship Type="http://schemas.openxmlformats.org/officeDocument/2006/relationships/hyperlink" Id="rId373" Target="https://doi.org/10.1016/j.ecoser.2022.101414" TargetMode="External" /><Relationship Type="http://schemas.openxmlformats.org/officeDocument/2006/relationships/hyperlink" Id="rId305" Target="https://doi.org/10.1016/j.ecss.2005.12.004" TargetMode="External" /><Relationship Type="http://schemas.openxmlformats.org/officeDocument/2006/relationships/hyperlink" Id="rId272" Target="https://doi.org/10.1016/j.ecss.2021.107320" TargetMode="External" /><Relationship Type="http://schemas.openxmlformats.org/officeDocument/2006/relationships/hyperlink" Id="rId287" Target="https://doi.org/10.1016/j.envpol.2021.117731" TargetMode="External" /><Relationship Type="http://schemas.openxmlformats.org/officeDocument/2006/relationships/hyperlink" Id="rId203" Target="https://doi.org/10.1016/j.jembe.2013.04.012" TargetMode="External" /><Relationship Type="http://schemas.openxmlformats.org/officeDocument/2006/relationships/hyperlink" Id="rId321" Target="https://doi.org/10.1016/j.jphotobiol.2013.10.005" TargetMode="External" /><Relationship Type="http://schemas.openxmlformats.org/officeDocument/2006/relationships/hyperlink" Id="rId381" Target="https://doi.org/10.1016/j.marenvres.2021.105475" TargetMode="External" /><Relationship Type="http://schemas.openxmlformats.org/officeDocument/2006/relationships/hyperlink" Id="rId392" Target="https://doi.org/10.1016/j.marpolbul.2017.06.075" TargetMode="External" /><Relationship Type="http://schemas.openxmlformats.org/officeDocument/2006/relationships/hyperlink" Id="rId412" Target="https://doi.org/10.1016/j.ress.2015.05.018" TargetMode="External" /><Relationship Type="http://schemas.openxmlformats.org/officeDocument/2006/relationships/hyperlink" Id="rId206" Target="https://doi.org/10.1016/j.rse.2010.12.008" TargetMode="External" /><Relationship Type="http://schemas.openxmlformats.org/officeDocument/2006/relationships/hyperlink" Id="rId251" Target="https://doi.org/10.1016/j.rse.2015.01.027" TargetMode="External" /><Relationship Type="http://schemas.openxmlformats.org/officeDocument/2006/relationships/hyperlink" Id="rId284" Target="https://doi.org/10.1016/j.rse.2015.05.023" TargetMode="External" /><Relationship Type="http://schemas.openxmlformats.org/officeDocument/2006/relationships/hyperlink" Id="rId290" Target="https://doi.org/10.1016/j.rse.2017.01.037" TargetMode="External" /><Relationship Type="http://schemas.openxmlformats.org/officeDocument/2006/relationships/hyperlink" Id="rId338" Target="https://doi.org/10.1016/j.rse.2018.10.032" TargetMode="External" /><Relationship Type="http://schemas.openxmlformats.org/officeDocument/2006/relationships/hyperlink" Id="rId424" Target="https://doi.org/10.1016/j.rse.2020.112020" TargetMode="External" /><Relationship Type="http://schemas.openxmlformats.org/officeDocument/2006/relationships/hyperlink" Id="rId242" Target="https://doi.org/10.1016/j.rse.2023.113554" TargetMode="External" /><Relationship Type="http://schemas.openxmlformats.org/officeDocument/2006/relationships/hyperlink" Id="rId329" Target="https://doi.org/10.1017/s0031182002001476" TargetMode="External" /><Relationship Type="http://schemas.openxmlformats.org/officeDocument/2006/relationships/hyperlink" Id="rId334" Target="https://doi.org/10.1038/s41586-018-0805-8" TargetMode="External" /><Relationship Type="http://schemas.openxmlformats.org/officeDocument/2006/relationships/hyperlink" Id="rId327" Target="https://doi.org/10.1038/s41598-021-83597-z" TargetMode="External" /><Relationship Type="http://schemas.openxmlformats.org/officeDocument/2006/relationships/hyperlink" Id="rId299" Target="https://doi.org/10.1063/1.44433" TargetMode="External" /><Relationship Type="http://schemas.openxmlformats.org/officeDocument/2006/relationships/hyperlink" Id="rId325" Target="https://doi.org/10.1111/GCB.14108" TargetMode="External" /><Relationship Type="http://schemas.openxmlformats.org/officeDocument/2006/relationships/hyperlink" Id="rId400" Target="https://doi.org/10.1111/conl.12566" TargetMode="External" /><Relationship Type="http://schemas.openxmlformats.org/officeDocument/2006/relationships/hyperlink" Id="rId405" Target="https://doi.org/10.1127/0340-269X/2003/0033-0187" TargetMode="External" /><Relationship Type="http://schemas.openxmlformats.org/officeDocument/2006/relationships/hyperlink" Id="rId220" Target="https://doi.org/10.1139/cjfas-2016-0137" TargetMode="External" /><Relationship Type="http://schemas.openxmlformats.org/officeDocument/2006/relationships/hyperlink" Id="rId417" Target="https://doi.org/10.1155/2017/1353691" TargetMode="External" /><Relationship Type="http://schemas.openxmlformats.org/officeDocument/2006/relationships/hyperlink" Id="rId293" Target="https://doi.org/10.1177/0309133309339563" TargetMode="External" /><Relationship Type="http://schemas.openxmlformats.org/officeDocument/2006/relationships/hyperlink" Id="rId247" Target="https://doi.org/10.15468/n4ak6x" TargetMode="External" /><Relationship Type="http://schemas.openxmlformats.org/officeDocument/2006/relationships/hyperlink" Id="rId403" Target="https://doi.org/10.1641/0006-3568(2004)054[0523:UISTSE]2.0.CO;2" TargetMode="External" /><Relationship Type="http://schemas.openxmlformats.org/officeDocument/2006/relationships/hyperlink" Id="rId384" Target="https://doi.org/10.2307/2657019" TargetMode="External" /><Relationship Type="http://schemas.openxmlformats.org/officeDocument/2006/relationships/hyperlink" Id="rId375" Target="https://doi.org/10.3389/fevo.2021.767548" TargetMode="External" /><Relationship Type="http://schemas.openxmlformats.org/officeDocument/2006/relationships/hyperlink" Id="rId367" Target="https://doi.org/10.3389/fmars.2022.1004012" TargetMode="External" /><Relationship Type="http://schemas.openxmlformats.org/officeDocument/2006/relationships/hyperlink" Id="rId217" Target="https://doi.org/10.3390/RS14020307" TargetMode="External" /><Relationship Type="http://schemas.openxmlformats.org/officeDocument/2006/relationships/hyperlink" Id="rId281" Target="https://doi.org/10.3390/app8122688" TargetMode="External" /><Relationship Type="http://schemas.openxmlformats.org/officeDocument/2006/relationships/hyperlink" Id="rId318" Target="https://doi.org/10.3390/rs11060704" TargetMode="External" /><Relationship Type="http://schemas.openxmlformats.org/officeDocument/2006/relationships/hyperlink" Id="rId348" Target="https://doi.org/10.3390/rs12233870" TargetMode="External" /><Relationship Type="http://schemas.openxmlformats.org/officeDocument/2006/relationships/hyperlink" Id="rId379" Target="https://doi.org/10.3390/rs13081408" TargetMode="External" /><Relationship Type="http://schemas.openxmlformats.org/officeDocument/2006/relationships/hyperlink" Id="rId254" Target="https://doi.org/10.3390/rs14020346" TargetMode="External" /><Relationship Type="http://schemas.openxmlformats.org/officeDocument/2006/relationships/hyperlink" Id="rId268" Target="https://doi.org/10.4319/lo.2003.48.1_part_2.0464" TargetMode="External" /><Relationship Type="http://schemas.openxmlformats.org/officeDocument/2006/relationships/hyperlink" Id="rId352" Target="https://doi.org/10.5281/zenodo.3463051" TargetMode="External" /><Relationship Type="http://schemas.openxmlformats.org/officeDocument/2006/relationships/hyperlink" Id="rId276" Target="https://github.com/koalaverse/vip/" TargetMode="External" /><Relationship Type="http://schemas.openxmlformats.org/officeDocument/2006/relationships/hyperlink" Id="rId301" Target="https://github.com/tidymodels/yardstick" TargetMode="External" /><Relationship Type="http://schemas.openxmlformats.org/officeDocument/2006/relationships/hyperlink" Id="rId346" Target="https://github.com/vegandevs/vegan" TargetMode="External" /><Relationship Type="http://schemas.openxmlformats.org/officeDocument/2006/relationships/hyperlink" Id="rId414" Target="https://imbs-hl.github.io/ranger/" TargetMode="External" /><Relationship Type="http://schemas.openxmlformats.org/officeDocument/2006/relationships/hyperlink" Id="rId215" Target="https://ipbes.net/global-assessment%0Ahttps://ipbes.net/global-assessment-report-biodiversity-ecosystem-services" TargetMode="External" /><Relationship Type="http://schemas.openxmlformats.org/officeDocument/2006/relationships/hyperlink" Id="rId265" Target="https://rsample.tidymodels.org" TargetMode="External" /><Relationship Type="http://schemas.openxmlformats.org/officeDocument/2006/relationships/hyperlink" Id="rId360" Target="https://www.R-project.org/" TargetMode="External" /><Relationship Type="http://schemas.openxmlformats.org/officeDocument/2006/relationships/hyperlink" Id="rId195" Target="https://www.agisoft.com/" TargetMode="External" /><Relationship Type="http://schemas.openxmlformats.org/officeDocument/2006/relationships/hyperlink" Id="rId303"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2024-12-23T20:45:48Z</dcterms:created>
  <dcterms:modified xsi:type="dcterms:W3CDTF">2024-12-23T20:45:48Z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